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spacing w:before="170"/>
        <w:ind w:left="0" w:firstLine="0"/>
        <w:rPr>
          <w:rStyle w:val="None"/>
          <w:outline w:val="0"/>
          <w:color w:val="337ab7"/>
          <w:u w:color="337ab7"/>
          <w14:textFill>
            <w14:solidFill>
              <w14:srgbClr w14:val="337AB7"/>
            </w14:solidFill>
          </w14:textFill>
        </w:rPr>
      </w:pPr>
      <w:r>
        <w:rPr>
          <w:rStyle w:val="None"/>
          <w:outline w:val="0"/>
          <w:color w:val="337ab7"/>
          <w:u w:color="337ab7"/>
          <w:rtl w:val="0"/>
          <w:lang w:val="en-US"/>
          <w14:textFill>
            <w14:solidFill>
              <w14:srgbClr w14:val="337AB7"/>
            </w14:solidFill>
          </w14:textFill>
        </w:rPr>
        <w:t>Make health your destination for a longer and fuller life, with more vitality and less disease risk</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Francisco Salcido-Ochoa, MD (Mex), MRCP (UK), MSc (UK), PhD (UK) 1,2</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1 OLYMPIA Lifestyle by Dr Francisco, Singapore</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2 Francisco Kidney &amp; Medical Centre, Singapore</w:t>
      </w:r>
    </w:p>
    <w:p>
      <w:pPr>
        <w:pStyle w:val="Body Text"/>
        <w:rPr>
          <w:rStyle w:val="None"/>
          <w:rFonts w:ascii="Arial" w:cs="Arial" w:hAnsi="Arial" w:eastAsia="Arial"/>
          <w:sz w:val="20"/>
          <w:szCs w:val="20"/>
        </w:rPr>
      </w:pPr>
    </w:p>
    <w:p>
      <w:pPr>
        <w:pStyle w:val="Body Text"/>
        <w:spacing w:before="3"/>
        <w:rPr>
          <w:rStyle w:val="None"/>
          <w:rFonts w:ascii="Arial" w:cs="Arial" w:hAnsi="Arial" w:eastAsia="Arial"/>
          <w:sz w:val="21"/>
          <w:szCs w:val="21"/>
        </w:rPr>
      </w:pPr>
    </w:p>
    <w:p>
      <w:pPr>
        <w:pStyle w:val="Body A"/>
        <w:rPr>
          <w:rStyle w:val="None"/>
          <w:rFonts w:ascii="Arial" w:cs="Arial" w:hAnsi="Arial" w:eastAsia="Arial"/>
        </w:rPr>
        <w:sectPr>
          <w:headerReference w:type="default" r:id="rId4"/>
          <w:footerReference w:type="default" r:id="rId5"/>
          <w:pgSz w:w="11920" w:h="16840" w:orient="portrait"/>
          <w:pgMar w:top="1740" w:right="600" w:bottom="840" w:left="620" w:header="541" w:footer="642"/>
          <w:bidi w:val="0"/>
        </w:sectPr>
      </w:pPr>
      <w:r>
        <w:rPr>
          <w:rStyle w:val="None"/>
          <w:rFonts w:ascii="Arial" w:cs="Arial" w:hAnsi="Arial" w:eastAsia="Arial"/>
        </w:rPr>
      </w:r>
    </w:p>
    <w:p>
      <w:pPr>
        <w:pStyle w:val="Heading 3"/>
        <w:spacing w:before="147"/>
        <w:jc w:val="both"/>
      </w:pPr>
      <w:r>
        <w:rPr>
          <w:rStyle w:val="None"/>
          <w:outline w:val="0"/>
          <w:color w:val="bf5a14"/>
          <w:u w:color="bf5a14"/>
          <w:rtl w:val="0"/>
          <w:lang w:val="en-US"/>
          <w14:textFill>
            <w14:solidFill>
              <w14:srgbClr w14:val="BF5A14"/>
            </w14:solidFill>
          </w14:textFill>
        </w:rPr>
        <w:t>Abstract (300 word limit)</w:t>
      </w:r>
    </w:p>
    <w:p>
      <w:pPr>
        <w:pStyle w:val="Body Text"/>
        <w:spacing w:before="90" w:line="280" w:lineRule="auto"/>
        <w:ind w:left="100" w:firstLine="0"/>
        <w:jc w:val="both"/>
      </w:pPr>
      <w:r>
        <w:rPr>
          <w:rStyle w:val="None A"/>
          <w:rtl w:val="0"/>
          <w:lang w:val="en-US"/>
        </w:rPr>
        <w:t>Unhealthy diet and sedentary lifestyle are known risk factors for overweight, metabolic syndrome, type 2 diabetes and heart disease; which can lead to a complicated and shortened life, with multiple worries and costs. There is a multitude of weight loss options. Crash diets can cause rapid weight reduction and almost invariably weight rebound. Others are unproven or hyped-up claims or potentially harmful. Medical and nutritional research support the adoption of a healthier diet with gradual calorie reduction, increased physical activity and bad habits removal. But still many people struggle with adherence and/or sustainability. The presence of psychological barriers with beliefs of incapacity to lose weight; propitiated by previous failures due to unrealistic goals or the use of drastic or ineffective methods; plus the fear to change are greatly responsible for that. Our structured, holistic and personalised coaching programme helps people to take charge of their health, empowering them to make better diet and lifestyle decisions life-long focusing on health as destination. We apply positive practical behavioural psychology to help them get rid of limiting beliefs and replacing them with more empowering beliefs of capability and possibility, so they can change inactivity to action, with into possibility, hope into faith and dream into results. With such mindset, implementation of new changes in their diet and lifestyle becomes easier. We also use precision nutrition tools to target more specifically and custom-tailor our advice, so is effective and sustainable. Our clients, besides weight loss, experience lots of positive changes in other aspects of their life after adopting a more positive, proactive and empowering mindset, receptive of change; leading to a total lifestyle transformation; enhancing their chances to live a longer and fuller life, with more vitality and less disease risk, so to fulfil their dreams and goals in life.</w:t>
      </w:r>
      <w:r>
        <w:rPr>
          <w:rStyle w:val="None"/>
          <w:rFonts w:ascii="Arial Unicode MS" w:cs="Arial Unicode MS" w:hAnsi="Arial Unicode MS" w:eastAsia="Arial Unicode MS"/>
          <w:b w:val="0"/>
          <w:bCs w:val="0"/>
          <w:i w:val="0"/>
          <w:iCs w:val="0"/>
        </w:rPr>
        <w:br w:type="column"/>
      </w:r>
    </w:p>
    <w:p>
      <w:pPr>
        <w:pStyle w:val="Body Text"/>
        <w:spacing w:before="90" w:line="280" w:lineRule="auto"/>
        <w:ind w:left="100" w:firstLine="0"/>
        <w:jc w:val="both"/>
      </w:pPr>
    </w:p>
    <w:p>
      <w:pPr>
        <w:pStyle w:val="Heading 3"/>
        <w:spacing w:before="74"/>
        <w:rPr>
          <w:rStyle w:val="None"/>
          <w:b w:val="0"/>
          <w:bCs w:val="0"/>
        </w:rPr>
      </w:pPr>
    </w:p>
    <w:p>
      <w:pPr>
        <w:pStyle w:val="Heading 3"/>
        <w:spacing w:before="74"/>
        <w:rPr>
          <w:rStyle w:val="None A"/>
        </w:rPr>
      </w:pPr>
      <w:r>
        <w:rPr>
          <w:rStyle w:val="None"/>
          <w:outline w:val="0"/>
          <w:color w:val="bf5a14"/>
          <w:u w:color="bf5a14"/>
          <w:rtl w:val="0"/>
          <w:lang w:val="en-US"/>
          <w14:textFill>
            <w14:solidFill>
              <w14:srgbClr w14:val="BF5A14"/>
            </w14:solidFill>
          </w14:textFill>
        </w:rPr>
        <w:t>Recent Publications (minimum 5)</w:t>
      </w:r>
    </w:p>
    <w:p>
      <w:pPr>
        <w:pStyle w:val="Default"/>
        <w:spacing w:before="0"/>
        <w:rPr>
          <w:rStyle w:val="None"/>
          <w:rFonts w:ascii="Arial" w:cs="Arial" w:hAnsi="Arial" w:eastAsia="Arial"/>
          <w:outline w:val="0"/>
          <w:color w:val="2b689c"/>
          <w:sz w:val="14"/>
          <w:szCs w:val="14"/>
          <w:u w:color="2b689c"/>
          <w14:textFill>
            <w14:solidFill>
              <w14:srgbClr w14:val="2B689C"/>
            </w14:solidFill>
          </w14:textFill>
        </w:rPr>
      </w:pPr>
      <w:r>
        <w:rPr>
          <w:rStyle w:val="None"/>
          <w:rFonts w:ascii="Arial" w:hAnsi="Arial"/>
          <w:outline w:val="0"/>
          <w:color w:val="2b689c"/>
          <w:sz w:val="14"/>
          <w:szCs w:val="14"/>
          <w:u w:color="2b689c"/>
          <w:rtl w:val="0"/>
          <w:lang w:val="ru-RU"/>
          <w14:textFill>
            <w14:solidFill>
              <w14:srgbClr w14:val="2B689C"/>
            </w14:solidFill>
          </w14:textFill>
        </w:rPr>
        <w:t xml:space="preserve">1 </w:t>
      </w:r>
      <w:r>
        <w:rPr>
          <w:rStyle w:val="None"/>
          <w:rFonts w:ascii="Arial" w:hAnsi="Arial" w:hint="default"/>
          <w:outline w:val="0"/>
          <w:color w:val="2b689c"/>
          <w:sz w:val="14"/>
          <w:szCs w:val="14"/>
          <w:u w:color="2b689c"/>
          <w:rtl w:val="0"/>
          <w:lang w:val="ru-RU"/>
          <w14:textFill>
            <w14:solidFill>
              <w14:srgbClr w14:val="2B689C"/>
            </w14:solidFill>
          </w14:textFill>
        </w:rPr>
        <w:t xml:space="preserve">  </w:t>
      </w:r>
      <w:r>
        <w:rPr>
          <w:rStyle w:val="None"/>
          <w:rFonts w:ascii="Arial" w:hAnsi="Arial"/>
          <w:outline w:val="0"/>
          <w:color w:val="2b689c"/>
          <w:sz w:val="14"/>
          <w:szCs w:val="14"/>
          <w:u w:color="2b689c"/>
          <w:rtl w:val="0"/>
          <w:lang w:val="en-US"/>
          <w14:textFill>
            <w14:solidFill>
              <w14:srgbClr w14:val="2B689C"/>
            </w14:solidFill>
          </w14:textFill>
        </w:rPr>
        <w:t>Salcido-Ochoa F and Allen JC. Biomarkers and a tailored approach for immune monitoring in kidney transplantation. World J Transplant</w:t>
      </w:r>
      <w:r>
        <w:rPr>
          <w:rStyle w:val="None"/>
          <w:rFonts w:ascii="Arial" w:hAnsi="Arial" w:hint="default"/>
          <w:outline w:val="0"/>
          <w:color w:val="2b689c"/>
          <w:sz w:val="14"/>
          <w:szCs w:val="14"/>
          <w:u w:color="2b689c"/>
          <w:rtl w:val="0"/>
          <w:lang w:val="ru-RU"/>
          <w14:textFill>
            <w14:solidFill>
              <w14:srgbClr w14:val="2B689C"/>
            </w14:solidFill>
          </w14:textFill>
        </w:rPr>
        <w:t> </w:t>
      </w:r>
      <w:r>
        <w:rPr>
          <w:rStyle w:val="None"/>
          <w:rFonts w:ascii="Arial" w:hAnsi="Arial"/>
          <w:outline w:val="0"/>
          <w:color w:val="2b689c"/>
          <w:sz w:val="14"/>
          <w:szCs w:val="14"/>
          <w:u w:color="2b689c"/>
          <w:rtl w:val="0"/>
          <w:lang w:val="ru-RU"/>
          <w14:textFill>
            <w14:solidFill>
              <w14:srgbClr w14:val="2B689C"/>
            </w14:solidFill>
          </w14:textFill>
        </w:rPr>
        <w:t>2017;</w:t>
      </w:r>
      <w:r>
        <w:rPr>
          <w:rStyle w:val="None"/>
          <w:rFonts w:ascii="Arial" w:hAnsi="Arial" w:hint="default"/>
          <w:outline w:val="0"/>
          <w:color w:val="2b689c"/>
          <w:sz w:val="14"/>
          <w:szCs w:val="14"/>
          <w:u w:color="2b689c"/>
          <w:rtl w:val="0"/>
          <w:lang w:val="ru-RU"/>
          <w14:textFill>
            <w14:solidFill>
              <w14:srgbClr w14:val="2B689C"/>
            </w14:solidFill>
          </w14:textFill>
        </w:rPr>
        <w:t> </w:t>
      </w:r>
      <w:r>
        <w:rPr>
          <w:rStyle w:val="None"/>
          <w:rFonts w:ascii="Arial" w:hAnsi="Arial"/>
          <w:outline w:val="0"/>
          <w:color w:val="2b689c"/>
          <w:sz w:val="14"/>
          <w:szCs w:val="14"/>
          <w:u w:color="2b689c"/>
          <w:rtl w:val="0"/>
          <w:lang w:val="ru-RU"/>
          <w14:textFill>
            <w14:solidFill>
              <w14:srgbClr w14:val="2B689C"/>
            </w14:solidFill>
          </w14:textFill>
        </w:rPr>
        <w:t>7(6): 276-284..</w:t>
      </w:r>
    </w:p>
    <w:p>
      <w:pPr>
        <w:pStyle w:val="Default"/>
        <w:spacing w:before="0"/>
        <w:rPr>
          <w:rStyle w:val="None"/>
          <w:rFonts w:ascii="Arial" w:cs="Arial" w:hAnsi="Arial" w:eastAsia="Arial"/>
          <w:outline w:val="0"/>
          <w:color w:val="2b689c"/>
          <w:sz w:val="14"/>
          <w:szCs w:val="14"/>
          <w:u w:color="2b689c"/>
          <w14:textFill>
            <w14:solidFill>
              <w14:srgbClr w14:val="2B689C"/>
            </w14:solidFill>
          </w14:textFill>
        </w:rPr>
      </w:pPr>
    </w:p>
    <w:p>
      <w:pPr>
        <w:pStyle w:val="Default"/>
        <w:spacing w:before="0"/>
        <w:rPr>
          <w:rStyle w:val="None"/>
          <w:rFonts w:ascii="Arial" w:cs="Arial" w:hAnsi="Arial" w:eastAsia="Arial"/>
          <w:outline w:val="0"/>
          <w:color w:val="2b689c"/>
          <w:sz w:val="14"/>
          <w:szCs w:val="14"/>
          <w:u w:color="2b689c"/>
          <w14:textFill>
            <w14:solidFill>
              <w14:srgbClr w14:val="2B689C"/>
            </w14:solidFill>
          </w14:textFill>
        </w:rPr>
      </w:pPr>
      <w:r>
        <w:rPr>
          <w:rStyle w:val="None"/>
          <w:rFonts w:ascii="Arial" w:hAnsi="Arial"/>
          <w:outline w:val="0"/>
          <w:color w:val="2b689c"/>
          <w:sz w:val="14"/>
          <w:szCs w:val="14"/>
          <w:u w:color="2b689c"/>
          <w:rtl w:val="0"/>
          <w:lang w:val="ru-RU"/>
          <w14:textFill>
            <w14:solidFill>
              <w14:srgbClr w14:val="2B689C"/>
            </w14:solidFill>
          </w14:textFill>
        </w:rPr>
        <w:t xml:space="preserve">2 </w:t>
      </w:r>
      <w:r>
        <w:rPr>
          <w:rStyle w:val="None"/>
          <w:rFonts w:ascii="Arial" w:hAnsi="Arial" w:hint="default"/>
          <w:outline w:val="0"/>
          <w:color w:val="2b689c"/>
          <w:sz w:val="14"/>
          <w:szCs w:val="14"/>
          <w:u w:color="2b689c"/>
          <w:rtl w:val="0"/>
          <w:lang w:val="ru-RU"/>
          <w14:textFill>
            <w14:solidFill>
              <w14:srgbClr w14:val="2B689C"/>
            </w14:solidFill>
          </w14:textFill>
        </w:rPr>
        <w:t xml:space="preserve">  </w:t>
      </w:r>
      <w:r>
        <w:rPr>
          <w:rStyle w:val="None"/>
          <w:rFonts w:ascii="Arial" w:hAnsi="Arial"/>
          <w:outline w:val="0"/>
          <w:color w:val="2b689c"/>
          <w:sz w:val="14"/>
          <w:szCs w:val="14"/>
          <w:u w:color="2b689c"/>
          <w:rtl w:val="0"/>
          <w:lang w:val="en-US"/>
          <w14:textFill>
            <w14:solidFill>
              <w14:srgbClr w14:val="2B689C"/>
            </w14:solidFill>
          </w14:textFill>
        </w:rPr>
        <w:t>Salcido-Ochoa F, Hue SS, Peng S, Fan Z, Li R, Iqbal J, Allen JC, and Loh A. Histopathological analysis of T cell subsets in acute T cell-mediated rejection in the kidney transplant. World J Transplant. Aug 24, 2017; 7(4):222-234. Doi: 10.5500/wjt.v7.i4.222.</w:t>
      </w:r>
    </w:p>
    <w:p>
      <w:pPr>
        <w:pStyle w:val="Default"/>
        <w:spacing w:before="0"/>
        <w:rPr>
          <w:rStyle w:val="None"/>
          <w:rFonts w:ascii="Arial" w:cs="Arial" w:hAnsi="Arial" w:eastAsia="Arial"/>
          <w:outline w:val="0"/>
          <w:color w:val="2b689c"/>
          <w:sz w:val="14"/>
          <w:szCs w:val="14"/>
          <w:u w:color="2b689c"/>
          <w14:textFill>
            <w14:solidFill>
              <w14:srgbClr w14:val="2B689C"/>
            </w14:solidFill>
          </w14:textFill>
        </w:rPr>
      </w:pPr>
    </w:p>
    <w:p>
      <w:pPr>
        <w:pStyle w:val="Default"/>
        <w:spacing w:before="0"/>
        <w:rPr>
          <w:rStyle w:val="None"/>
          <w:rFonts w:ascii="Arial" w:cs="Arial" w:hAnsi="Arial" w:eastAsia="Arial"/>
          <w:outline w:val="0"/>
          <w:color w:val="2b689c"/>
          <w:sz w:val="14"/>
          <w:szCs w:val="14"/>
          <w:u w:color="2b689c"/>
          <w14:textFill>
            <w14:solidFill>
              <w14:srgbClr w14:val="2B689C"/>
            </w14:solidFill>
          </w14:textFill>
        </w:rPr>
      </w:pPr>
      <w:r>
        <w:rPr>
          <w:rStyle w:val="None"/>
          <w:rFonts w:ascii="Arial" w:hAnsi="Arial"/>
          <w:outline w:val="0"/>
          <w:color w:val="2b689c"/>
          <w:sz w:val="14"/>
          <w:szCs w:val="14"/>
          <w:u w:color="2b689c"/>
          <w:rtl w:val="0"/>
          <w:lang w:val="ru-RU"/>
          <w14:textFill>
            <w14:solidFill>
              <w14:srgbClr w14:val="2B689C"/>
            </w14:solidFill>
          </w14:textFill>
        </w:rPr>
        <w:t xml:space="preserve">3 </w:t>
      </w:r>
      <w:r>
        <w:rPr>
          <w:rStyle w:val="None"/>
          <w:rFonts w:ascii="Arial" w:hAnsi="Arial" w:hint="default"/>
          <w:outline w:val="0"/>
          <w:color w:val="2b689c"/>
          <w:sz w:val="14"/>
          <w:szCs w:val="14"/>
          <w:u w:color="2b689c"/>
          <w:rtl w:val="0"/>
          <w:lang w:val="ru-RU"/>
          <w14:textFill>
            <w14:solidFill>
              <w14:srgbClr w14:val="2B689C"/>
            </w14:solidFill>
          </w14:textFill>
        </w:rPr>
        <w:t xml:space="preserve">  </w:t>
      </w:r>
      <w:r>
        <w:rPr>
          <w:rStyle w:val="None"/>
          <w:rFonts w:ascii="Arial" w:hAnsi="Arial"/>
          <w:outline w:val="0"/>
          <w:color w:val="2b689c"/>
          <w:sz w:val="14"/>
          <w:szCs w:val="14"/>
          <w:u w:color="2b689c"/>
          <w:rtl w:val="0"/>
          <w:lang w:val="en-US"/>
          <w14:textFill>
            <w14:solidFill>
              <w14:srgbClr w14:val="2B689C"/>
            </w14:solidFill>
          </w14:textFill>
        </w:rPr>
        <w:t>Salcido-Ochoa F, Hue SS, Haase D, Choo J, Yusof N, Li R, Allen JC, Iqbal J, Loh A, and Rotszchke O. Analysis of T cells in primary/idiopathic minimal change disease: A pilot study: International Journal of Nephrology. Vol. 2017, Article ID 3095425, 13 pages, 2017. doi:10.1155/2017/3095425</w:t>
      </w:r>
      <w:r>
        <w:rPr>
          <w:rStyle w:val="None"/>
          <w:rFonts w:ascii="Arial" w:hAnsi="Arial" w:hint="default"/>
          <w:outline w:val="0"/>
          <w:color w:val="2b689c"/>
          <w:sz w:val="14"/>
          <w:szCs w:val="14"/>
          <w:u w:color="2b689c"/>
          <w:rtl w:val="0"/>
          <w:lang w:val="ru-RU"/>
          <w14:textFill>
            <w14:solidFill>
              <w14:srgbClr w14:val="2B689C"/>
            </w14:solidFill>
          </w14:textFill>
        </w:rPr>
        <w:t> </w:t>
      </w:r>
    </w:p>
    <w:p>
      <w:pPr>
        <w:pStyle w:val="Default"/>
        <w:spacing w:before="0"/>
        <w:rPr>
          <w:rStyle w:val="None"/>
          <w:rFonts w:ascii="Arial" w:cs="Arial" w:hAnsi="Arial" w:eastAsia="Arial"/>
          <w:outline w:val="0"/>
          <w:color w:val="2b689c"/>
          <w:sz w:val="14"/>
          <w:szCs w:val="14"/>
          <w:u w:color="2b689c"/>
          <w14:textFill>
            <w14:solidFill>
              <w14:srgbClr w14:val="2B689C"/>
            </w14:solidFill>
          </w14:textFill>
        </w:rPr>
      </w:pPr>
    </w:p>
    <w:p>
      <w:pPr>
        <w:pStyle w:val="Default"/>
        <w:spacing w:before="0"/>
        <w:rPr>
          <w:rStyle w:val="None"/>
          <w:rFonts w:ascii="Arial" w:cs="Arial" w:hAnsi="Arial" w:eastAsia="Arial"/>
          <w:outline w:val="0"/>
          <w:color w:val="2b689c"/>
          <w:sz w:val="14"/>
          <w:szCs w:val="14"/>
          <w:u w:color="2b689c"/>
          <w14:textFill>
            <w14:solidFill>
              <w14:srgbClr w14:val="2B689C"/>
            </w14:solidFill>
          </w14:textFill>
        </w:rPr>
      </w:pPr>
      <w:r>
        <w:rPr>
          <w:rStyle w:val="None"/>
          <w:rFonts w:ascii="Arial" w:hAnsi="Arial"/>
          <w:outline w:val="0"/>
          <w:color w:val="2b689c"/>
          <w:sz w:val="14"/>
          <w:szCs w:val="14"/>
          <w:u w:color="2b689c"/>
          <w:rtl w:val="0"/>
          <w:lang w:val="ru-RU"/>
          <w14:textFill>
            <w14:solidFill>
              <w14:srgbClr w14:val="2B689C"/>
            </w14:solidFill>
          </w14:textFill>
        </w:rPr>
        <w:t xml:space="preserve">4 </w:t>
      </w:r>
      <w:r>
        <w:rPr>
          <w:rStyle w:val="None"/>
          <w:rFonts w:ascii="Arial" w:hAnsi="Arial" w:hint="default"/>
          <w:outline w:val="0"/>
          <w:color w:val="2b689c"/>
          <w:sz w:val="14"/>
          <w:szCs w:val="14"/>
          <w:u w:color="2b689c"/>
          <w:rtl w:val="0"/>
          <w:lang w:val="ru-RU"/>
          <w14:textFill>
            <w14:solidFill>
              <w14:srgbClr w14:val="2B689C"/>
            </w14:solidFill>
          </w14:textFill>
        </w:rPr>
        <w:t xml:space="preserve">  </w:t>
      </w:r>
      <w:r>
        <w:rPr>
          <w:rStyle w:val="None"/>
          <w:rFonts w:ascii="Arial" w:hAnsi="Arial"/>
          <w:outline w:val="0"/>
          <w:color w:val="2b689c"/>
          <w:sz w:val="14"/>
          <w:szCs w:val="14"/>
          <w:u w:color="2b689c"/>
          <w:rtl w:val="0"/>
          <w:lang w:val="en-US"/>
          <w14:textFill>
            <w14:solidFill>
              <w14:srgbClr w14:val="2B689C"/>
            </w14:solidFill>
          </w14:textFill>
        </w:rPr>
        <w:t>Hue SS, Suhail SM, Choo J, Yusof N, Loh A and Salcido-Ochoa F. Does Foxp3+ regulatory T cells (Treg cells) play a role in the immunopathogenesis of minimal change disease? ISRN Pathology 2014, 2014:640829.</w:t>
      </w:r>
    </w:p>
    <w:p>
      <w:pPr>
        <w:pStyle w:val="Default"/>
        <w:spacing w:before="0"/>
        <w:rPr>
          <w:rStyle w:val="None"/>
          <w:rFonts w:ascii="Arial" w:cs="Arial" w:hAnsi="Arial" w:eastAsia="Arial"/>
          <w:outline w:val="0"/>
          <w:color w:val="2b689c"/>
          <w:sz w:val="14"/>
          <w:szCs w:val="14"/>
          <w:u w:color="2b689c"/>
          <w14:textFill>
            <w14:solidFill>
              <w14:srgbClr w14:val="2B689C"/>
            </w14:solidFill>
          </w14:textFill>
        </w:rPr>
      </w:pPr>
    </w:p>
    <w:p>
      <w:pPr>
        <w:pStyle w:val="Default"/>
        <w:spacing w:before="0"/>
        <w:rPr>
          <w:rStyle w:val="None"/>
          <w:rFonts w:ascii="Arial" w:cs="Arial" w:hAnsi="Arial" w:eastAsia="Arial"/>
          <w:outline w:val="0"/>
          <w:color w:val="000000"/>
          <w:sz w:val="14"/>
          <w:szCs w:val="14"/>
          <w:u w:color="000000"/>
          <w14:textFill>
            <w14:solidFill>
              <w14:srgbClr w14:val="000000"/>
            </w14:solidFill>
          </w14:textFill>
        </w:rPr>
      </w:pPr>
      <w:r>
        <w:rPr>
          <w:rStyle w:val="None"/>
          <w:rFonts w:ascii="Arial" w:hAnsi="Arial"/>
          <w:outline w:val="0"/>
          <w:color w:val="2b689c"/>
          <w:sz w:val="14"/>
          <w:szCs w:val="14"/>
          <w:u w:color="2b689c"/>
          <w:rtl w:val="0"/>
          <w:lang w:val="ru-RU"/>
          <w14:textFill>
            <w14:solidFill>
              <w14:srgbClr w14:val="2B689C"/>
            </w14:solidFill>
          </w14:textFill>
        </w:rPr>
        <w:t xml:space="preserve">5 </w:t>
      </w:r>
      <w:r>
        <w:rPr>
          <w:rStyle w:val="None"/>
          <w:rFonts w:ascii="Arial" w:hAnsi="Arial" w:hint="default"/>
          <w:outline w:val="0"/>
          <w:color w:val="2b689c"/>
          <w:sz w:val="14"/>
          <w:szCs w:val="14"/>
          <w:u w:color="2b689c"/>
          <w:rtl w:val="0"/>
          <w:lang w:val="ru-RU"/>
          <w14:textFill>
            <w14:solidFill>
              <w14:srgbClr w14:val="2B689C"/>
            </w14:solidFill>
          </w14:textFill>
        </w:rPr>
        <w:t xml:space="preserve">  </w:t>
      </w:r>
      <w:r>
        <w:rPr>
          <w:rStyle w:val="None"/>
          <w:rFonts w:ascii="Arial" w:hAnsi="Arial"/>
          <w:outline w:val="0"/>
          <w:color w:val="2b689c"/>
          <w:sz w:val="14"/>
          <w:szCs w:val="14"/>
          <w:u w:color="2b689c"/>
          <w:rtl w:val="0"/>
          <w:lang w:val="en-US"/>
          <w14:textFill>
            <w14:solidFill>
              <w14:srgbClr w14:val="2B689C"/>
            </w14:solidFill>
          </w14:textFill>
        </w:rPr>
        <w:t>Salcido-Ochoa F, Yusof N, Hue SSS, Haase D, Kee T and Rotzschke O. Are we ready for the use of Foxp3+ regulatory T cells (Tregs) for immunodiagnosis and immunotherapy in kidney transplantation? Journal of Transplantation 2012, 2012: 397952.</w:t>
      </w:r>
    </w:p>
    <w:p>
      <w:pPr>
        <w:pStyle w:val="Default"/>
        <w:spacing w:before="0"/>
        <w:rPr>
          <w:rStyle w:val="None"/>
          <w:rFonts w:ascii="Arial" w:cs="Arial" w:hAnsi="Arial" w:eastAsia="Arial"/>
          <w:sz w:val="14"/>
          <w:szCs w:val="14"/>
        </w:rPr>
      </w:pPr>
      <w:r>
        <w:rPr>
          <w:rStyle w:val="None"/>
          <w:rFonts w:ascii="Arial" w:hAnsi="Arial" w:hint="default"/>
          <w:sz w:val="14"/>
          <w:szCs w:val="14"/>
          <w:rtl w:val="0"/>
          <w:lang w:val="ru-RU"/>
        </w:rPr>
        <w:t> </w:t>
      </w:r>
    </w:p>
    <w:p>
      <w:pPr>
        <w:pStyle w:val="Default"/>
        <w:spacing w:before="0"/>
        <w:rPr>
          <w:rStyle w:val="None"/>
          <w:rFonts w:ascii="Arial" w:cs="Arial" w:hAnsi="Arial" w:eastAsia="Arial"/>
          <w:outline w:val="0"/>
          <w:color w:val="000000"/>
          <w:sz w:val="14"/>
          <w:szCs w:val="14"/>
          <w:u w:color="000000"/>
          <w14:textFill>
            <w14:solidFill>
              <w14:srgbClr w14:val="000000"/>
            </w14:solidFill>
          </w14:textFill>
        </w:rPr>
      </w:pPr>
      <w:r>
        <w:rPr>
          <w:rStyle w:val="None"/>
          <w:rFonts w:ascii="Arial" w:hAnsi="Arial"/>
          <w:outline w:val="0"/>
          <w:color w:val="2b689c"/>
          <w:sz w:val="14"/>
          <w:szCs w:val="14"/>
          <w:u w:color="2b689c"/>
          <w:rtl w:val="0"/>
          <w:lang w:val="ru-RU"/>
          <w14:textFill>
            <w14:solidFill>
              <w14:srgbClr w14:val="2B689C"/>
            </w14:solidFill>
          </w14:textFill>
        </w:rPr>
        <w:t xml:space="preserve">6 </w:t>
      </w:r>
      <w:r>
        <w:rPr>
          <w:rStyle w:val="None"/>
          <w:rFonts w:ascii="Arial" w:hAnsi="Arial" w:hint="default"/>
          <w:outline w:val="0"/>
          <w:color w:val="2b689c"/>
          <w:sz w:val="14"/>
          <w:szCs w:val="14"/>
          <w:u w:color="2b689c"/>
          <w:rtl w:val="0"/>
          <w:lang w:val="ru-RU"/>
          <w14:textFill>
            <w14:solidFill>
              <w14:srgbClr w14:val="2B689C"/>
            </w14:solidFill>
          </w14:textFill>
        </w:rPr>
        <w:t xml:space="preserve">  </w:t>
      </w:r>
      <w:r>
        <w:rPr>
          <w:rStyle w:val="None"/>
          <w:rFonts w:ascii="Arial" w:hAnsi="Arial"/>
          <w:outline w:val="0"/>
          <w:color w:val="2b689c"/>
          <w:sz w:val="14"/>
          <w:szCs w:val="14"/>
          <w:u w:color="2b689c"/>
          <w:rtl w:val="0"/>
          <w:lang w:val="en-US"/>
          <w14:textFill>
            <w14:solidFill>
              <w14:srgbClr w14:val="2B689C"/>
            </w14:solidFill>
          </w14:textFill>
        </w:rPr>
        <w:t>Salcido-Ochoa F, Tsang J, Tam P, Falk K and Rotzschke O. Regulatory T cells in transplantation: does extracellular adenosine triphosphate metabolism through CD39 play a crucial role?. Transplantation Reviews 2010, 24:52:66.</w:t>
      </w:r>
    </w:p>
    <w:p>
      <w:pPr>
        <w:pStyle w:val="Default"/>
        <w:spacing w:before="0"/>
        <w:rPr>
          <w:rStyle w:val="None"/>
          <w:rFonts w:ascii="Arial" w:cs="Arial" w:hAnsi="Arial" w:eastAsia="Arial"/>
          <w:sz w:val="14"/>
          <w:szCs w:val="14"/>
        </w:rPr>
      </w:pPr>
      <w:r>
        <w:rPr>
          <w:rStyle w:val="None"/>
          <w:rFonts w:ascii="Arial" w:hAnsi="Arial" w:hint="default"/>
          <w:sz w:val="14"/>
          <w:szCs w:val="14"/>
          <w:rtl w:val="0"/>
          <w:lang w:val="ru-RU"/>
        </w:rPr>
        <w:t> </w:t>
      </w:r>
    </w:p>
    <w:p>
      <w:pPr>
        <w:pStyle w:val="Default"/>
        <w:spacing w:before="0"/>
        <w:rPr>
          <w:rStyle w:val="None"/>
          <w:rFonts w:ascii="Arial" w:cs="Arial" w:hAnsi="Arial" w:eastAsia="Arial"/>
          <w:outline w:val="0"/>
          <w:color w:val="000000"/>
          <w:sz w:val="14"/>
          <w:szCs w:val="14"/>
          <w:u w:color="000000"/>
          <w14:textFill>
            <w14:solidFill>
              <w14:srgbClr w14:val="000000"/>
            </w14:solidFill>
          </w14:textFill>
        </w:rPr>
      </w:pPr>
      <w:r>
        <w:rPr>
          <w:rStyle w:val="None"/>
          <w:rFonts w:ascii="Arial" w:hAnsi="Arial"/>
          <w:outline w:val="0"/>
          <w:color w:val="2b689c"/>
          <w:sz w:val="14"/>
          <w:szCs w:val="14"/>
          <w:u w:color="2b689c"/>
          <w:rtl w:val="0"/>
          <w:lang w:val="ru-RU"/>
          <w14:textFill>
            <w14:solidFill>
              <w14:srgbClr w14:val="2B689C"/>
            </w14:solidFill>
          </w14:textFill>
        </w:rPr>
        <w:t xml:space="preserve">7 </w:t>
      </w:r>
      <w:r>
        <w:rPr>
          <w:rStyle w:val="None"/>
          <w:rFonts w:ascii="Arial" w:hAnsi="Arial" w:hint="default"/>
          <w:outline w:val="0"/>
          <w:color w:val="2b689c"/>
          <w:sz w:val="14"/>
          <w:szCs w:val="14"/>
          <w:u w:color="2b689c"/>
          <w:rtl w:val="0"/>
          <w:lang w:val="ru-RU"/>
          <w14:textFill>
            <w14:solidFill>
              <w14:srgbClr w14:val="2B689C"/>
            </w14:solidFill>
          </w14:textFill>
        </w:rPr>
        <w:t xml:space="preserve">  </w:t>
      </w:r>
      <w:r>
        <w:rPr>
          <w:rStyle w:val="None"/>
          <w:rFonts w:ascii="Arial" w:hAnsi="Arial"/>
          <w:outline w:val="0"/>
          <w:color w:val="2b689c"/>
          <w:sz w:val="14"/>
          <w:szCs w:val="14"/>
          <w:u w:color="2b689c"/>
          <w:rtl w:val="0"/>
          <w:lang w:val="en-US"/>
          <w14:textFill>
            <w14:solidFill>
              <w14:srgbClr w14:val="2B689C"/>
            </w14:solidFill>
          </w14:textFill>
        </w:rPr>
        <w:t>Herrera OB, Golshayan D, Tibbott R, Salcido-Ochoa F, James MJ, Marelli-Berg FM and Lechler RI. A novel pathway of alloantigen presentation by dendritic cells. J Immunol 2004, 173:4828-4837.</w:t>
      </w:r>
    </w:p>
    <w:p>
      <w:pPr>
        <w:pStyle w:val="Default"/>
        <w:spacing w:before="0"/>
        <w:rPr>
          <w:rStyle w:val="None"/>
          <w:rFonts w:ascii="Arial" w:cs="Arial" w:hAnsi="Arial" w:eastAsia="Arial"/>
          <w:sz w:val="14"/>
          <w:szCs w:val="14"/>
        </w:rPr>
      </w:pPr>
      <w:r>
        <w:rPr>
          <w:rStyle w:val="None"/>
          <w:rFonts w:ascii="Arial" w:hAnsi="Arial" w:hint="default"/>
          <w:sz w:val="14"/>
          <w:szCs w:val="14"/>
          <w:rtl w:val="0"/>
          <w:lang w:val="ru-RU"/>
        </w:rPr>
        <w:t> </w:t>
      </w:r>
    </w:p>
    <w:p>
      <w:pPr>
        <w:pStyle w:val="Default"/>
        <w:spacing w:before="0"/>
        <w:rPr>
          <w:rStyle w:val="None"/>
          <w:rFonts w:ascii="Arial" w:cs="Arial" w:hAnsi="Arial" w:eastAsia="Arial"/>
          <w:outline w:val="0"/>
          <w:color w:val="000000"/>
          <w:sz w:val="14"/>
          <w:szCs w:val="14"/>
          <w:u w:color="000000"/>
          <w14:textFill>
            <w14:solidFill>
              <w14:srgbClr w14:val="000000"/>
            </w14:solidFill>
          </w14:textFill>
        </w:rPr>
      </w:pPr>
      <w:r>
        <w:rPr>
          <w:rStyle w:val="None"/>
          <w:rFonts w:ascii="Arial" w:hAnsi="Arial"/>
          <w:outline w:val="0"/>
          <w:color w:val="2b689c"/>
          <w:sz w:val="14"/>
          <w:szCs w:val="14"/>
          <w:u w:color="2b689c"/>
          <w:rtl w:val="0"/>
          <w:lang w:val="ru-RU"/>
          <w14:textFill>
            <w14:solidFill>
              <w14:srgbClr w14:val="2B689C"/>
            </w14:solidFill>
          </w14:textFill>
        </w:rPr>
        <w:t xml:space="preserve">8 </w:t>
      </w:r>
      <w:r>
        <w:rPr>
          <w:rStyle w:val="None"/>
          <w:rFonts w:ascii="Arial" w:hAnsi="Arial" w:hint="default"/>
          <w:outline w:val="0"/>
          <w:color w:val="2b689c"/>
          <w:sz w:val="14"/>
          <w:szCs w:val="14"/>
          <w:u w:color="2b689c"/>
          <w:rtl w:val="0"/>
          <w:lang w:val="ru-RU"/>
          <w14:textFill>
            <w14:solidFill>
              <w14:srgbClr w14:val="2B689C"/>
            </w14:solidFill>
          </w14:textFill>
        </w:rPr>
        <w:t xml:space="preserve">  </w:t>
      </w:r>
      <w:r>
        <w:rPr>
          <w:rStyle w:val="None"/>
          <w:rFonts w:ascii="Arial" w:hAnsi="Arial"/>
          <w:outline w:val="0"/>
          <w:color w:val="2b689c"/>
          <w:sz w:val="14"/>
          <w:szCs w:val="14"/>
          <w:u w:color="2b689c"/>
          <w:rtl w:val="0"/>
          <w:lang w:val="en-US"/>
          <w14:textFill>
            <w14:solidFill>
              <w14:srgbClr w14:val="2B689C"/>
            </w14:solidFill>
          </w14:textFill>
        </w:rPr>
        <w:t>Salcido-Ochoa F and Lechler RI. Dendritic cells prohibited by anergic T cells acquire tolerogenic properties. Transplant Proc 2002; 34:2855-2858.</w:t>
      </w:r>
    </w:p>
    <w:p>
      <w:pPr>
        <w:pStyle w:val="Default"/>
        <w:spacing w:before="0"/>
        <w:rPr>
          <w:rStyle w:val="None"/>
          <w:rFonts w:ascii="Arial" w:cs="Arial" w:hAnsi="Arial" w:eastAsia="Arial"/>
          <w:sz w:val="14"/>
          <w:szCs w:val="14"/>
        </w:rPr>
      </w:pPr>
      <w:r>
        <w:rPr>
          <w:rStyle w:val="None"/>
          <w:rFonts w:ascii="Arial" w:hAnsi="Arial" w:hint="default"/>
          <w:sz w:val="14"/>
          <w:szCs w:val="14"/>
          <w:rtl w:val="0"/>
          <w:lang w:val="ru-RU"/>
        </w:rPr>
        <w:t> </w:t>
      </w:r>
    </w:p>
    <w:p>
      <w:pPr>
        <w:pStyle w:val="Default"/>
        <w:spacing w:before="0"/>
        <w:rPr>
          <w:rStyle w:val="None"/>
          <w:rFonts w:ascii="Arial" w:cs="Arial" w:hAnsi="Arial" w:eastAsia="Arial"/>
          <w:outline w:val="0"/>
          <w:color w:val="000000"/>
          <w:sz w:val="14"/>
          <w:szCs w:val="14"/>
          <w:u w:color="000000"/>
          <w14:textFill>
            <w14:solidFill>
              <w14:srgbClr w14:val="000000"/>
            </w14:solidFill>
          </w14:textFill>
        </w:rPr>
      </w:pPr>
      <w:r>
        <w:rPr>
          <w:rStyle w:val="None"/>
          <w:rFonts w:ascii="Arial" w:hAnsi="Arial"/>
          <w:outline w:val="0"/>
          <w:color w:val="2b689c"/>
          <w:sz w:val="14"/>
          <w:szCs w:val="14"/>
          <w:u w:color="2b689c"/>
          <w:rtl w:val="0"/>
          <w:lang w:val="ru-RU"/>
          <w14:textFill>
            <w14:solidFill>
              <w14:srgbClr w14:val="2B689C"/>
            </w14:solidFill>
          </w14:textFill>
        </w:rPr>
        <w:t>9</w:t>
      </w:r>
      <w:r>
        <w:rPr>
          <w:rStyle w:val="None"/>
          <w:rFonts w:ascii="Arial" w:hAnsi="Arial" w:hint="default"/>
          <w:outline w:val="0"/>
          <w:color w:val="2b689c"/>
          <w:sz w:val="14"/>
          <w:szCs w:val="14"/>
          <w:u w:color="2b689c"/>
          <w:rtl w:val="0"/>
          <w:lang w:val="ru-RU"/>
          <w14:textFill>
            <w14:solidFill>
              <w14:srgbClr w14:val="2B689C"/>
            </w14:solidFill>
          </w14:textFill>
        </w:rPr>
        <w:t xml:space="preserve">  </w:t>
      </w:r>
      <w:r>
        <w:rPr>
          <w:rStyle w:val="None"/>
          <w:rFonts w:ascii="Arial" w:hAnsi="Arial"/>
          <w:outline w:val="0"/>
          <w:color w:val="2b689c"/>
          <w:sz w:val="14"/>
          <w:szCs w:val="14"/>
          <w:u w:color="2b689c"/>
          <w:rtl w:val="0"/>
          <w:lang w:val="en-US"/>
          <w14:textFill>
            <w14:solidFill>
              <w14:srgbClr w14:val="2B689C"/>
            </w14:solidFill>
          </w14:textFill>
        </w:rPr>
        <w:t>Salcido-Ochoa F, Cabiedes J, Alarcon-Segovia D and Cabral AR. Antiprothrombin antibodies in patients with systemic lupus erythematosus or with primary antiphospholipid syndrome. J Clin Rheumatol 2002; 8:251-255.</w:t>
      </w:r>
    </w:p>
    <w:p>
      <w:pPr>
        <w:pStyle w:val="Default"/>
        <w:spacing w:before="0"/>
        <w:rPr>
          <w:rStyle w:val="None"/>
          <w:rFonts w:ascii="Calibri" w:cs="Calibri" w:hAnsi="Calibri" w:eastAsia="Calibri"/>
          <w:outline w:val="0"/>
          <w:color w:val="2b689c"/>
          <w:sz w:val="30"/>
          <w:szCs w:val="30"/>
          <w:u w:color="2b689c"/>
          <w14:textFill>
            <w14:solidFill>
              <w14:srgbClr w14:val="2B689C"/>
            </w14:solidFill>
          </w14:textFill>
        </w:rPr>
      </w:pPr>
    </w:p>
    <w:p>
      <w:pPr>
        <w:pStyle w:val="Body A"/>
        <w:tabs>
          <w:tab w:val="left" w:pos="384"/>
        </w:tabs>
        <w:ind w:right="117"/>
      </w:pPr>
    </w:p>
    <w:p>
      <w:pPr>
        <w:pStyle w:val="Body A"/>
        <w:spacing w:line="200" w:lineRule="exact"/>
        <w:jc w:val="both"/>
        <w:rPr>
          <w:rStyle w:val="None"/>
          <w:rFonts w:ascii="Calibri" w:cs="Calibri" w:hAnsi="Calibri" w:eastAsia="Calibri"/>
        </w:rPr>
        <w:sectPr>
          <w:type w:val="continuous"/>
          <w:pgSz w:w="11920" w:h="16840" w:orient="portrait"/>
          <w:pgMar w:top="1740" w:right="600" w:bottom="840" w:left="620" w:header="541" w:footer="642"/>
          <w:cols w:space="720" w:num="2" w:equalWidth="1"/>
          <w:bidi w:val="0"/>
        </w:sectPr>
      </w:pPr>
      <w:r>
        <w:rPr>
          <w:rStyle w:val="None"/>
          <w:rFonts w:ascii="Calibri" w:hAnsi="Calibri"/>
          <w:rtl w:val="0"/>
        </w:rPr>
        <w:t xml:space="preserve">   </w:t>
      </w:r>
      <w:r>
        <w:rPr>
          <w:rStyle w:val="None"/>
          <w:rFonts w:ascii="Calibri" w:cs="Calibri" w:hAnsi="Calibri" w:eastAsia="Calibri"/>
        </w:rPr>
      </w:r>
    </w:p>
    <w:p>
      <w:pPr>
        <w:pStyle w:val="Body Text"/>
        <w:rPr>
          <w:rStyle w:val="None"/>
          <w:rFonts w:ascii="Calibri" w:cs="Calibri" w:hAnsi="Calibri" w:eastAsia="Calibri"/>
          <w:sz w:val="20"/>
          <w:szCs w:val="20"/>
        </w:rPr>
      </w:pPr>
    </w:p>
    <w:p>
      <w:pPr>
        <w:pStyle w:val="Body Text"/>
        <w:spacing w:line="40" w:lineRule="exact"/>
        <w:ind w:left="2202" w:firstLine="0"/>
        <w:rPr>
          <w:rStyle w:val="None"/>
          <w:rFonts w:ascii="Calibri" w:cs="Calibri" w:hAnsi="Calibri" w:eastAsia="Calibri"/>
          <w:sz w:val="4"/>
          <w:szCs w:val="4"/>
        </w:rPr>
      </w:pPr>
      <w:r>
        <w:rPr>
          <w:rStyle w:val="None"/>
          <w:rFonts w:ascii="Calibri" w:cs="Calibri" w:hAnsi="Calibri" w:eastAsia="Calibri"/>
          <w:sz w:val="4"/>
          <w:szCs w:val="4"/>
        </w:rPr>
        <mc:AlternateContent>
          <mc:Choice Requires="wps">
            <w:drawing>
              <wp:inline distT="0" distB="0" distL="0" distR="0">
                <wp:extent cx="3950335" cy="0"/>
                <wp:effectExtent l="0" t="0" r="0" b="0"/>
                <wp:docPr id="1073741830"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Body A"/>
        <w:spacing w:before="92"/>
        <w:ind w:right="4234"/>
        <w:rPr>
          <w:rStyle w:val="None"/>
          <w:rFonts w:ascii="Arial" w:cs="Arial" w:hAnsi="Arial" w:eastAsia="Arial"/>
        </w:rPr>
      </w:pPr>
      <w:r>
        <w:rPr>
          <w:rStyle w:val="None A"/>
          <w:rtl w:val="0"/>
        </w:rPr>
        <w:t xml:space="preserve">    </w:t>
      </w:r>
      <w:r>
        <w:rPr>
          <w:rStyle w:val="None"/>
          <w:rFonts w:ascii="Arial" w:hAnsi="Arial"/>
          <w:outline w:val="0"/>
          <w:color w:val="bf5a14"/>
          <w:u w:color="bf5a14"/>
          <w:rtl w:val="0"/>
          <w:lang w:val="en-US"/>
          <w14:textFill>
            <w14:solidFill>
              <w14:srgbClr w14:val="BF5A14"/>
            </w14:solidFill>
          </w14:textFill>
        </w:rPr>
        <w:t>Biography (150 word limit)</w:t>
      </w:r>
    </w:p>
    <w:p>
      <w:pPr>
        <w:pStyle w:val="Body A"/>
        <w:spacing w:before="41"/>
        <w:ind w:left="213" w:right="231" w:firstLine="0"/>
        <w:jc w:val="both"/>
        <w:rPr>
          <w:rStyle w:val="None"/>
          <w:rFonts w:ascii="Arial" w:cs="Arial" w:hAnsi="Arial" w:eastAsia="Arial"/>
          <w:outline w:val="0"/>
          <w:color w:val="000000"/>
          <w:sz w:val="14"/>
          <w:szCs w:val="14"/>
          <w:u w:color="000000"/>
          <w14:textFill>
            <w14:solidFill>
              <w14:srgbClr w14:val="000000"/>
            </w14:solidFill>
          </w14:textFill>
        </w:rPr>
      </w:pPr>
      <w:r>
        <w:rPr>
          <w:rStyle w:val="None"/>
          <w:rFonts w:ascii="Arial" w:hAnsi="Arial"/>
          <w:sz w:val="14"/>
          <w:szCs w:val="14"/>
          <w:rtl w:val="0"/>
          <w:lang w:val="en-US"/>
        </w:rPr>
        <w:t>Dr Francisco</w:t>
      </w:r>
      <w:r>
        <w:rPr>
          <w:rStyle w:val="None"/>
          <w:rFonts w:ascii="Arial" w:hAnsi="Arial"/>
          <w:sz w:val="14"/>
          <w:szCs w:val="14"/>
          <w:rtl w:val="0"/>
        </w:rPr>
        <w:t xml:space="preserve"> </w:t>
      </w:r>
      <w:r>
        <w:rPr>
          <w:rStyle w:val="None"/>
          <w:rFonts w:ascii="Arial" w:hAnsi="Arial"/>
          <w:sz w:val="14"/>
          <w:szCs w:val="14"/>
          <w:rtl w:val="0"/>
          <w:lang w:val="en-US"/>
        </w:rPr>
        <w:t>is a medical specialist nephrologist</w:t>
      </w:r>
      <w:r>
        <w:rPr>
          <w:rStyle w:val="None"/>
          <w:rFonts w:ascii="Arial" w:hAnsi="Arial"/>
          <w:sz w:val="14"/>
          <w:szCs w:val="14"/>
          <w:rtl w:val="0"/>
        </w:rPr>
        <w:t>, a</w:t>
      </w:r>
      <w:r>
        <w:rPr>
          <w:rStyle w:val="None"/>
          <w:rFonts w:ascii="Arial" w:hAnsi="Arial"/>
          <w:sz w:val="14"/>
          <w:szCs w:val="14"/>
          <w:rtl w:val="0"/>
          <w:lang w:val="en-US"/>
        </w:rPr>
        <w:t xml:space="preserve"> transplant immunologist &amp; a health coach. He is the medical director of </w:t>
      </w:r>
      <w:r>
        <w:rPr>
          <w:rStyle w:val="None"/>
          <w:rFonts w:ascii="Arial" w:hAnsi="Arial"/>
          <w:i w:val="1"/>
          <w:iCs w:val="1"/>
          <w:sz w:val="14"/>
          <w:szCs w:val="14"/>
          <w:rtl w:val="0"/>
          <w:lang w:val="en-US"/>
        </w:rPr>
        <w:t>Francisco Kidney &amp; Medical Centre</w:t>
      </w:r>
      <w:r>
        <w:rPr>
          <w:rStyle w:val="None"/>
          <w:rFonts w:ascii="Arial" w:hAnsi="Arial"/>
          <w:sz w:val="14"/>
          <w:szCs w:val="14"/>
          <w:rtl w:val="0"/>
          <w:lang w:val="en-US"/>
        </w:rPr>
        <w:t xml:space="preserve"> in Singapore and of </w:t>
      </w:r>
      <w:r>
        <w:rPr>
          <w:rStyle w:val="None"/>
          <w:rFonts w:ascii="Arial" w:hAnsi="Arial"/>
          <w:i w:val="1"/>
          <w:iCs w:val="1"/>
          <w:sz w:val="14"/>
          <w:szCs w:val="14"/>
          <w:rtl w:val="0"/>
          <w:lang w:val="en-US"/>
        </w:rPr>
        <w:t>OLYMPIA Lifestyle by Dr Francisco</w:t>
      </w:r>
      <w:r>
        <w:rPr>
          <w:rStyle w:val="None"/>
          <w:rFonts w:ascii="Arial" w:hAnsi="Arial"/>
          <w:sz w:val="14"/>
          <w:szCs w:val="14"/>
          <w:rtl w:val="0"/>
          <w:lang w:val="en-US"/>
        </w:rPr>
        <w:t>. As a doctor, he has seen first hand all the medical and emotional consequences that chronic illnesses and their complications have on patients and their families. For that reason, he</w:t>
      </w:r>
      <w:r>
        <w:rPr>
          <w:rStyle w:val="None"/>
          <w:rFonts w:ascii="Arial" w:hAnsi="Arial"/>
          <w:sz w:val="14"/>
          <w:szCs w:val="14"/>
          <w:rtl w:val="0"/>
        </w:rPr>
        <w:t xml:space="preserve"> </w:t>
      </w:r>
      <w:r>
        <w:rPr>
          <w:rStyle w:val="None"/>
          <w:rFonts w:ascii="Arial" w:hAnsi="Arial"/>
          <w:sz w:val="14"/>
          <w:szCs w:val="14"/>
          <w:rtl w:val="0"/>
          <w:lang w:val="en-US"/>
        </w:rPr>
        <w:t>does not only treat diseases, but approaches</w:t>
      </w:r>
      <w:r>
        <w:rPr>
          <w:rStyle w:val="None"/>
          <w:rFonts w:ascii="Arial" w:hAnsi="Arial"/>
          <w:sz w:val="14"/>
          <w:szCs w:val="14"/>
          <w:rtl w:val="0"/>
        </w:rPr>
        <w:t xml:space="preserve"> </w:t>
      </w:r>
      <w:r>
        <w:rPr>
          <w:rStyle w:val="None"/>
          <w:rFonts w:ascii="Arial" w:hAnsi="Arial"/>
          <w:sz w:val="14"/>
          <w:szCs w:val="14"/>
          <w:rtl w:val="0"/>
          <w:lang w:val="en-US"/>
        </w:rPr>
        <w:t>his patients and clients both holistically and empathetically, focusing on disease prevention, while walking their path hand in hand with them, aiming to minimise both their complications and worries. His clients get empowered to take charge of their diet and lifestyle choices, achieving their health and weight loss goals and obtaining</w:t>
      </w:r>
      <w:r>
        <w:rPr>
          <w:rStyle w:val="None"/>
          <w:rFonts w:ascii="Arial" w:hAnsi="Arial"/>
          <w:sz w:val="14"/>
          <w:szCs w:val="14"/>
          <w:rtl w:val="0"/>
        </w:rPr>
        <w:t xml:space="preserve"> </w:t>
      </w:r>
      <w:r>
        <w:rPr>
          <w:rStyle w:val="None"/>
          <w:rFonts w:ascii="Arial" w:hAnsi="Arial"/>
          <w:sz w:val="14"/>
          <w:szCs w:val="14"/>
          <w:rtl w:val="0"/>
          <w:lang w:val="en-US"/>
        </w:rPr>
        <w:t>a total lifestyle transformation. Being able to witness that, that is the reason why he is so passionate about health &amp; medical coaching.</w:t>
      </w:r>
      <w:r>
        <w:rPr>
          <w:rStyle w:val="None"/>
          <w:rFonts w:ascii="Arial" w:hAnsi="Arial" w:hint="default"/>
          <w:sz w:val="14"/>
          <w:szCs w:val="14"/>
          <w:rtl w:val="0"/>
        </w:rPr>
        <w:t> </w:t>
      </w:r>
    </w:p>
    <w:p>
      <w:pPr>
        <w:pStyle w:val="Body A"/>
        <w:spacing w:before="62"/>
        <w:ind w:left="4217" w:right="4235" w:firstLine="0"/>
        <w:jc w:val="center"/>
      </w:pPr>
      <w:r>
        <w:rPr>
          <w:rStyle w:val="None"/>
          <w:rFonts w:ascii="Arial" w:hAnsi="Arial"/>
          <w:sz w:val="14"/>
          <w:szCs w:val="14"/>
          <w:rtl w:val="0"/>
        </w:rPr>
        <w:t xml:space="preserve">Email: </w:t>
      </w:r>
      <w:r>
        <w:rPr>
          <w:rStyle w:val="Hyperlink.2"/>
        </w:rPr>
        <w:fldChar w:fldCharType="begin" w:fldLock="0"/>
      </w:r>
      <w:r>
        <w:rPr>
          <w:rStyle w:val="Hyperlink.2"/>
        </w:rPr>
        <w:instrText xml:space="preserve"> HYPERLINK "mailto:francisco.olympialifestyle@gmail.com"</w:instrText>
      </w:r>
      <w:r>
        <w:rPr>
          <w:rStyle w:val="Hyperlink.2"/>
        </w:rPr>
        <w:fldChar w:fldCharType="separate" w:fldLock="0"/>
      </w:r>
      <w:r>
        <w:rPr>
          <w:rStyle w:val="Hyperlink.2"/>
          <w:rtl w:val="0"/>
          <w:lang w:val="en-US"/>
        </w:rPr>
        <w:t>francisco.olympialifestyle@gmail.com</w:t>
      </w:r>
      <w:r>
        <w:rPr/>
        <w:fldChar w:fldCharType="end" w:fldLock="0"/>
      </w:r>
      <w:r>
        <w:rPr>
          <w:rStyle w:val="None"/>
          <w:rFonts w:ascii="Arial" w:cs="Arial" w:hAnsi="Arial" w:eastAsia="Arial"/>
          <w:sz w:val="12"/>
          <w:szCs w:val="12"/>
          <w:lang w:val="en-US"/>
        </w:rPr>
        <w:drawing>
          <wp:anchor distT="152400" distB="152400" distL="152400" distR="152400" simplePos="0" relativeHeight="251660288" behindDoc="0" locked="0" layoutInCell="1" allowOverlap="1">
            <wp:simplePos x="0" y="0"/>
            <wp:positionH relativeFrom="margin">
              <wp:posOffset>2827646</wp:posOffset>
            </wp:positionH>
            <wp:positionV relativeFrom="line">
              <wp:posOffset>201804</wp:posOffset>
            </wp:positionV>
            <wp:extent cx="1115076" cy="1746250"/>
            <wp:effectExtent l="0" t="0" r="0" b="0"/>
            <wp:wrapThrough wrapText="bothSides" distL="152400" distR="152400">
              <wp:wrapPolygon edited="1">
                <wp:start x="0" y="0"/>
                <wp:lineTo x="21600" y="0"/>
                <wp:lineTo x="21600" y="21600"/>
                <wp:lineTo x="0" y="21600"/>
                <wp:lineTo x="0"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1ad6e78e-7c94-4028-9c11-31633addf689.jpeg"/>
                    <pic:cNvPicPr>
                      <a:picLocks noChangeAspect="1"/>
                    </pic:cNvPicPr>
                  </pic:nvPicPr>
                  <pic:blipFill>
                    <a:blip r:embed="rId6">
                      <a:extLst/>
                    </a:blip>
                    <a:stretch>
                      <a:fillRect/>
                    </a:stretch>
                  </pic:blipFill>
                  <pic:spPr>
                    <a:xfrm>
                      <a:off x="0" y="0"/>
                      <a:ext cx="1115076" cy="1746250"/>
                    </a:xfrm>
                    <a:prstGeom prst="rect">
                      <a:avLst/>
                    </a:prstGeom>
                    <a:ln w="12700" cap="flat">
                      <a:noFill/>
                      <a:miter lim="400000"/>
                    </a:ln>
                    <a:effectLst/>
                  </pic:spPr>
                </pic:pic>
              </a:graphicData>
            </a:graphic>
          </wp:anchor>
        </w:drawing>
      </w:r>
      <w:r>
        <w:rPr>
          <w:rStyle w:val="None"/>
          <w:rFonts w:ascii="Arial" w:hAnsi="Arial"/>
          <w:sz w:val="12"/>
          <w:szCs w:val="12"/>
          <w:rtl w:val="0"/>
          <w:lang w:val="en-US"/>
        </w:rPr>
        <w:t xml:space="preserve"> </w:t>
      </w:r>
      <w:r>
        <w:rPr>
          <w:rStyle w:val="None A"/>
        </w:rPr>
        <mc:AlternateContent>
          <mc:Choice Requires="wps">
            <w:drawing>
              <wp:anchor distT="0" distB="0" distL="0" distR="0" simplePos="0" relativeHeight="251659264" behindDoc="0" locked="0" layoutInCell="1" allowOverlap="1">
                <wp:simplePos x="0" y="0"/>
                <wp:positionH relativeFrom="page">
                  <wp:posOffset>2065020</wp:posOffset>
                </wp:positionH>
                <wp:positionV relativeFrom="line">
                  <wp:posOffset>161925</wp:posOffset>
                </wp:positionV>
                <wp:extent cx="3442335" cy="0"/>
                <wp:effectExtent l="0" t="0" r="0" b="0"/>
                <wp:wrapTopAndBottom distT="0" distB="0"/>
                <wp:docPr id="1073741832" name="officeArt object" descr="Line 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6pt;margin-top:12.8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r>
        <w:rPr>
          <w:rStyle w:val="None"/>
          <w:rFonts w:ascii="Minion Pro" w:cs="Minion Pro" w:hAnsi="Minion Pro" w:eastAsia="Minion Pro"/>
          <w:b w:val="1"/>
          <w:bCs w:val="1"/>
          <w:sz w:val="20"/>
          <w:szCs w:val="20"/>
        </w:rPr>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330834</wp:posOffset>
              </wp:positionV>
              <wp:extent cx="1832612"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2" cy="220980"/>
                      </a:xfrm>
                      <a:prstGeom prst="rect">
                        <a:avLst/>
                      </a:prstGeom>
                      <a:noFill/>
                      <a:ln w="12700" cap="flat">
                        <a:noFill/>
                        <a:miter lim="400000"/>
                      </a:ln>
                      <a:effectLst/>
                    </wps:spPr>
                    <wps:txbx>
                      <w:txbxContent>
                        <w:p>
                          <w:pPr>
                            <w:pStyle w:val="Body A"/>
                            <w:spacing w:before="2" w:line="249" w:lineRule="auto"/>
                            <w:ind w:left="156" w:right="18" w:hanging="137"/>
                          </w:pPr>
                          <w:r>
                            <w:rPr>
                              <w:rStyle w:val="Hyperlink.0"/>
                              <w:rtl w:val="0"/>
                            </w:rPr>
                            <w:t xml:space="preserve">T Furuta et al., J Pai n Relief 2016, 5:3(Suppl) </w:t>
                          </w:r>
                          <w:r>
                            <w:rPr>
                              <w:rStyle w:val="Hyperlink.1"/>
                            </w:rPr>
                            <w:fldChar w:fldCharType="begin" w:fldLock="0"/>
                          </w:r>
                          <w:r>
                            <w:rPr>
                              <w:rStyle w:val="Hyperlink.1"/>
                            </w:rPr>
                            <w:instrText xml:space="preserve"> HYPERLINK "http://dx.doi.org/10.4172/2167-0846.C1.006"</w:instrText>
                          </w:r>
                          <w:r>
                            <w:rPr>
                              <w:rStyle w:val="Hyperlink.1"/>
                            </w:rPr>
                            <w:fldChar w:fldCharType="separate" w:fldLock="0"/>
                          </w:r>
                          <w:r>
                            <w:rPr>
                              <w:rStyle w:val="Hyperlink.1"/>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8"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spacing w:before="2" w:line="249" w:lineRule="auto"/>
                      <w:ind w:left="156" w:right="18" w:hanging="137"/>
                    </w:pPr>
                    <w:r>
                      <w:rPr>
                        <w:rStyle w:val="Hyperlink.0"/>
                        <w:rtl w:val="0"/>
                      </w:rPr>
                      <w:t xml:space="preserve">T Furuta et al., J Pai n Relief 2016, 5:3(Suppl) </w:t>
                    </w:r>
                    <w:r>
                      <w:rPr>
                        <w:rStyle w:val="Hyperlink.1"/>
                      </w:rPr>
                      <w:fldChar w:fldCharType="begin" w:fldLock="0"/>
                    </w:r>
                    <w:r>
                      <w:rPr>
                        <w:rStyle w:val="Hyperlink.1"/>
                      </w:rPr>
                      <w:instrText xml:space="preserve"> HYPERLINK "http://dx.doi.org/10.4172/2167-0846.C1.006"</w:instrText>
                    </w:r>
                    <w:r>
                      <w:rPr>
                        <w:rStyle w:val="Hyperlink.1"/>
                      </w:rPr>
                      <w:fldChar w:fldCharType="separate" w:fldLock="0"/>
                    </w:r>
                    <w:r>
                      <w:rPr>
                        <w:rStyle w:val="Hyperlink.1"/>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613408</wp:posOffset>
              </wp:positionV>
              <wp:extent cx="6552566"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outline w:val="0"/>
                              <w:color w:val="ffffff"/>
                              <w:u w:color="ffffff"/>
                              <w14:textFill>
                                <w14:solidFill>
                                  <w14:srgbClr w14:val="FFFFFF"/>
                                </w14:solidFill>
                              </w14:textFill>
                            </w:rPr>
                          </w:pPr>
                          <w:r>
                            <w:rPr>
                              <w:rStyle w:val="None"/>
                              <w:rFonts w:ascii="Myriad Pro" w:cs="Myriad Pro" w:hAnsi="Myriad Pro" w:eastAsia="Myriad Pro"/>
                              <w:outline w:val="0"/>
                              <w:color w:val="ffffff"/>
                              <w:u w:color="ffffff"/>
                              <w:rtl w:val="0"/>
                              <w:lang w:val="en-US"/>
                              <w14:textFill>
                                <w14:solidFill>
                                  <w14:srgbClr w14:val="FFFFFF"/>
                                </w14:solidFill>
                              </w14:textFill>
                            </w:rPr>
                            <w:t>International Conference on</w:t>
                          </w:r>
                        </w:p>
                        <w:p>
                          <w:pPr>
                            <w:pStyle w:val="Body A"/>
                            <w:spacing w:line="614" w:lineRule="exact"/>
                            <w:ind w:left="20" w:firstLine="0"/>
                          </w:pPr>
                          <w:r>
                            <w:rPr>
                              <w:rStyle w:val="None"/>
                              <w:rFonts w:ascii="Impact" w:hAnsi="Impact"/>
                              <w:outline w:val="0"/>
                              <w:color w:val="ffffff"/>
                              <w:sz w:val="52"/>
                              <w:szCs w:val="52"/>
                              <w:u w:color="ffffff"/>
                              <w:rtl w:val="0"/>
                              <w:lang w:val="en-US"/>
                              <w14:textFill>
                                <w14:solidFill>
                                  <w14:srgbClr w14:val="FFFFFF"/>
                                </w14:solidFill>
                              </w14:textFill>
                            </w:rPr>
                            <w:t xml:space="preserve">Fibromyalgia and Chronic Pain </w:t>
                          </w:r>
                          <w:r>
                            <w:rPr>
                              <w:rStyle w:val="None"/>
                              <w:rFonts w:ascii="Minion Pro" w:cs="Minion Pro" w:hAnsi="Minion Pro" w:eastAsia="Minion Pro"/>
                              <w:outline w:val="0"/>
                              <w:color w:val="ffffff"/>
                              <w:sz w:val="24"/>
                              <w:szCs w:val="24"/>
                              <w:u w:color="ffffff"/>
                              <w:rtl w:val="0"/>
                              <w:lang w:val="en-US"/>
                              <w14:textFill>
                                <w14:solidFill>
                                  <w14:srgbClr w14:val="FFFFFF"/>
                                </w14:solidFill>
                              </w14:textFill>
                            </w:rPr>
                            <w:t>(June 15-16, 2016   Philadelphia, USA)</w:t>
                          </w:r>
                        </w:p>
                      </w:txbxContent>
                    </wps:txbx>
                    <wps:bodyPr wrap="square" lIns="0" tIns="0" rIns="0" bIns="0" numCol="1" anchor="t">
                      <a:noAutofit/>
                    </wps:bodyPr>
                  </wps:wsp>
                </a:graphicData>
              </a:graphic>
            </wp:anchor>
          </w:drawing>
        </mc:Choice>
        <mc:Fallback>
          <w:pict>
            <v:shape id="_x0000_s1029" type="#_x0000_t202" style="visibility:visible;position:absolute;margin-left:35.0pt;margin-top:48.3pt;width:516.0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outline w:val="0"/>
                        <w:color w:val="ffffff"/>
                        <w:u w:color="ffffff"/>
                        <w14:textFill>
                          <w14:solidFill>
                            <w14:srgbClr w14:val="FFFFFF"/>
                          </w14:solidFill>
                        </w14:textFill>
                      </w:rPr>
                    </w:pPr>
                    <w:r>
                      <w:rPr>
                        <w:rStyle w:val="None"/>
                        <w:rFonts w:ascii="Myriad Pro" w:cs="Myriad Pro" w:hAnsi="Myriad Pro" w:eastAsia="Myriad Pro"/>
                        <w:outline w:val="0"/>
                        <w:color w:val="ffffff"/>
                        <w:u w:color="ffffff"/>
                        <w:rtl w:val="0"/>
                        <w:lang w:val="en-US"/>
                        <w14:textFill>
                          <w14:solidFill>
                            <w14:srgbClr w14:val="FFFFFF"/>
                          </w14:solidFill>
                        </w14:textFill>
                      </w:rPr>
                      <w:t>International Conference on</w:t>
                    </w:r>
                  </w:p>
                  <w:p>
                    <w:pPr>
                      <w:pStyle w:val="Body A"/>
                      <w:spacing w:line="614" w:lineRule="exact"/>
                      <w:ind w:left="20" w:firstLine="0"/>
                    </w:pPr>
                    <w:r>
                      <w:rPr>
                        <w:rStyle w:val="None"/>
                        <w:rFonts w:ascii="Impact" w:hAnsi="Impact"/>
                        <w:outline w:val="0"/>
                        <w:color w:val="ffffff"/>
                        <w:sz w:val="52"/>
                        <w:szCs w:val="52"/>
                        <w:u w:color="ffffff"/>
                        <w:rtl w:val="0"/>
                        <w:lang w:val="en-US"/>
                        <w14:textFill>
                          <w14:solidFill>
                            <w14:srgbClr w14:val="FFFFFF"/>
                          </w14:solidFill>
                        </w14:textFill>
                      </w:rPr>
                      <w:t xml:space="preserve">Fibromyalgia and Chronic Pain </w:t>
                    </w:r>
                    <w:r>
                      <w:rPr>
                        <w:rStyle w:val="None"/>
                        <w:rFonts w:ascii="Minion Pro" w:cs="Minion Pro" w:hAnsi="Minion Pro" w:eastAsia="Minion Pro"/>
                        <w:outline w:val="0"/>
                        <w:color w:val="ffffff"/>
                        <w:sz w:val="24"/>
                        <w:szCs w:val="24"/>
                        <w:u w:color="ffffff"/>
                        <w:rtl w:val="0"/>
                        <w:lang w:val="en-US"/>
                        <w14:textFill>
                          <w14:solidFill>
                            <w14:srgbClr w14:val="FFFFFF"/>
                          </w14:solidFill>
                        </w14:textFill>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Body A"/>
                            <w:spacing w:line="184" w:lineRule="exact"/>
                            <w:ind w:left="20" w:firstLine="0"/>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J Pain Relief</w:t>
                          </w:r>
                          <w:r>
                            <w:rPr>
                              <w:rStyle w:val="None"/>
                              <w:rFonts w:ascii="Arial" w:cs="Arial" w:hAnsi="Arial" w:eastAsia="Arial"/>
                              <w:outline w:val="0"/>
                              <w:color w:val="ffffff"/>
                              <w:sz w:val="16"/>
                              <w:szCs w:val="16"/>
                              <w:u w:color="ffffff"/>
                              <w14:textFill>
                                <w14:solidFill>
                                  <w14:srgbClr w14:val="FFFFFF"/>
                                </w14:solidFill>
                              </w14:textFill>
                            </w:rPr>
                          </w:r>
                        </w:p>
                        <w:p>
                          <w:pPr>
                            <w:pStyle w:val="Body A"/>
                            <w:spacing w:before="8"/>
                            <w:ind w:left="20" w:firstLine="0"/>
                          </w:pPr>
                          <w:r>
                            <w:rPr>
                              <w:rStyle w:val="None"/>
                              <w:rFonts w:ascii="Arial" w:hAnsi="Arial"/>
                              <w:outline w:val="0"/>
                              <w:color w:val="ffffff"/>
                              <w:sz w:val="16"/>
                              <w:szCs w:val="16"/>
                              <w:u w:color="ffffff"/>
                              <w:rtl w:val="0"/>
                              <w:lang w:val="en-US"/>
                              <w14:textFill>
                                <w14:solidFill>
                                  <w14:srgbClr w14:val="FFFFFF"/>
                                </w14:solidFill>
                              </w14:textFill>
                            </w:rPr>
                            <w:t>ISSN: 2167-0846 JPAR an open access journa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spacing w:line="184" w:lineRule="exact"/>
                      <w:ind w:left="20" w:firstLine="0"/>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J Pain Relief</w:t>
                    </w:r>
                    <w:r>
                      <w:rPr>
                        <w:rStyle w:val="None"/>
                        <w:rFonts w:ascii="Arial" w:cs="Arial" w:hAnsi="Arial" w:eastAsia="Arial"/>
                        <w:outline w:val="0"/>
                        <w:color w:val="ffffff"/>
                        <w:sz w:val="16"/>
                        <w:szCs w:val="16"/>
                        <w:u w:color="ffffff"/>
                        <w14:textFill>
                          <w14:solidFill>
                            <w14:srgbClr w14:val="FFFFFF"/>
                          </w14:solidFill>
                        </w14:textFill>
                      </w:rPr>
                    </w:r>
                  </w:p>
                  <w:p>
                    <w:pPr>
                      <w:pStyle w:val="Body A"/>
                      <w:spacing w:before="8"/>
                      <w:ind w:left="20" w:firstLine="0"/>
                    </w:pPr>
                    <w:r>
                      <w:rPr>
                        <w:rStyle w:val="None"/>
                        <w:rFonts w:ascii="Arial" w:hAnsi="Arial"/>
                        <w:outline w:val="0"/>
                        <w:color w:val="ffffff"/>
                        <w:sz w:val="16"/>
                        <w:szCs w:val="16"/>
                        <w:u w:color="ffffff"/>
                        <w:rtl w:val="0"/>
                        <w:lang w:val="en-US"/>
                        <w14:textFill>
                          <w14:solidFill>
                            <w14:srgbClr w14:val="FFFFFF"/>
                          </w14:solidFill>
                        </w14:textFill>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10147934</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Body A"/>
                            <w:spacing w:line="269" w:lineRule="exact"/>
                            <w:jc w:val="center"/>
                            <w:rPr>
                              <w:rStyle w:val="None"/>
                              <w:rFonts w:ascii="Impact" w:cs="Impact" w:hAnsi="Impact" w:eastAsia="Impact"/>
                              <w:outline w:val="0"/>
                              <w:color w:val="ffffff"/>
                              <w:sz w:val="24"/>
                              <w:szCs w:val="24"/>
                              <w:u w:color="ffffff"/>
                              <w14:textFill>
                                <w14:solidFill>
                                  <w14:srgbClr w14:val="FFFFFF"/>
                                </w14:solidFill>
                              </w14:textFill>
                            </w:rPr>
                          </w:pPr>
                          <w:r>
                            <w:rPr>
                              <w:rStyle w:val="None"/>
                              <w:rFonts w:ascii="Impact" w:hAnsi="Impact"/>
                              <w:outline w:val="0"/>
                              <w:color w:val="ffffff"/>
                              <w:sz w:val="24"/>
                              <w:szCs w:val="24"/>
                              <w:u w:color="ffffff"/>
                              <w:rtl w:val="0"/>
                              <w:lang w:val="it-IT"/>
                              <w14:textFill>
                                <w14:solidFill>
                                  <w14:srgbClr w14:val="FFFFFF"/>
                                </w14:solidFill>
                              </w14:textFill>
                            </w:rPr>
                            <w:t>Fibromyalgia 2016</w:t>
                          </w:r>
                          <w:r>
                            <w:rPr>
                              <w:rStyle w:val="None"/>
                              <w:rFonts w:ascii="Impact" w:cs="Impact" w:hAnsi="Impact" w:eastAsia="Impact"/>
                              <w:outline w:val="0"/>
                              <w:color w:val="ffffff"/>
                              <w:sz w:val="24"/>
                              <w:szCs w:val="24"/>
                              <w:u w:color="ffffff"/>
                              <w14:textFill>
                                <w14:solidFill>
                                  <w14:srgbClr w14:val="FFFFFF"/>
                                </w14:solidFill>
                              </w14:textFill>
                            </w:rPr>
                          </w:r>
                        </w:p>
                        <w:p>
                          <w:pPr>
                            <w:pStyle w:val="Body A"/>
                            <w:spacing w:before="29"/>
                            <w:jc w:val="center"/>
                          </w:pPr>
                          <w:r>
                            <w:rPr>
                              <w:rStyle w:val="None"/>
                              <w:rFonts w:ascii="Arial" w:hAnsi="Arial"/>
                              <w:outline w:val="0"/>
                              <w:color w:val="ffffff"/>
                              <w:sz w:val="16"/>
                              <w:szCs w:val="16"/>
                              <w:u w:color="ffffff"/>
                              <w:rtl w:val="0"/>
                              <w:lang w:val="en-US"/>
                              <w14:textFill>
                                <w14:solidFill>
                                  <w14:srgbClr w14:val="FFFFFF"/>
                                </w14:solidFill>
                              </w14:textFill>
                            </w:rPr>
                            <w:t>June 15-16, 2016</w:t>
                          </w:r>
                        </w:p>
                      </w:txbxContent>
                    </wps:txbx>
                    <wps:bodyPr wrap="square" lIns="0" tIns="0" rIns="0" bIns="0" numCol="1" anchor="t">
                      <a:noAutofit/>
                    </wps:bodyPr>
                  </wps:wsp>
                </a:graphicData>
              </a:graphic>
            </wp:anchor>
          </w:drawing>
        </mc:Choice>
        <mc:Fallback>
          <w:pict>
            <v:shape id="_x0000_s1031"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spacing w:line="269" w:lineRule="exact"/>
                      <w:jc w:val="center"/>
                      <w:rPr>
                        <w:rStyle w:val="None"/>
                        <w:rFonts w:ascii="Impact" w:cs="Impact" w:hAnsi="Impact" w:eastAsia="Impact"/>
                        <w:outline w:val="0"/>
                        <w:color w:val="ffffff"/>
                        <w:sz w:val="24"/>
                        <w:szCs w:val="24"/>
                        <w:u w:color="ffffff"/>
                        <w14:textFill>
                          <w14:solidFill>
                            <w14:srgbClr w14:val="FFFFFF"/>
                          </w14:solidFill>
                        </w14:textFill>
                      </w:rPr>
                    </w:pPr>
                    <w:r>
                      <w:rPr>
                        <w:rStyle w:val="None"/>
                        <w:rFonts w:ascii="Impact" w:hAnsi="Impact"/>
                        <w:outline w:val="0"/>
                        <w:color w:val="ffffff"/>
                        <w:sz w:val="24"/>
                        <w:szCs w:val="24"/>
                        <w:u w:color="ffffff"/>
                        <w:rtl w:val="0"/>
                        <w:lang w:val="it-IT"/>
                        <w14:textFill>
                          <w14:solidFill>
                            <w14:srgbClr w14:val="FFFFFF"/>
                          </w14:solidFill>
                        </w14:textFill>
                      </w:rPr>
                      <w:t>Fibromyalgia 2016</w:t>
                    </w:r>
                    <w:r>
                      <w:rPr>
                        <w:rStyle w:val="None"/>
                        <w:rFonts w:ascii="Impact" w:cs="Impact" w:hAnsi="Impact" w:eastAsia="Impact"/>
                        <w:outline w:val="0"/>
                        <w:color w:val="ffffff"/>
                        <w:sz w:val="24"/>
                        <w:szCs w:val="24"/>
                        <w:u w:color="ffffff"/>
                        <w14:textFill>
                          <w14:solidFill>
                            <w14:srgbClr w14:val="FFFFFF"/>
                          </w14:solidFill>
                        </w14:textFill>
                      </w:rPr>
                    </w:r>
                  </w:p>
                  <w:p>
                    <w:pPr>
                      <w:pStyle w:val="Body A"/>
                      <w:spacing w:before="29"/>
                      <w:jc w:val="center"/>
                    </w:pPr>
                    <w:r>
                      <w:rPr>
                        <w:rStyle w:val="None"/>
                        <w:rFonts w:ascii="Arial" w:hAnsi="Arial"/>
                        <w:outline w:val="0"/>
                        <w:color w:val="ffffff"/>
                        <w:sz w:val="16"/>
                        <w:szCs w:val="16"/>
                        <w:u w:color="ffffff"/>
                        <w:rtl w:val="0"/>
                        <w:lang w:val="en-US"/>
                        <w14:textFill>
                          <w14:solidFill>
                            <w14:srgbClr w14:val="FFFFFF"/>
                          </w14:solidFill>
                        </w14:textFill>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10144758</wp:posOffset>
              </wp:positionV>
              <wp:extent cx="1160781" cy="330837"/>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7"/>
                      </a:xfrm>
                      <a:prstGeom prst="rect">
                        <a:avLst/>
                      </a:prstGeom>
                      <a:noFill/>
                      <a:ln w="12700" cap="flat">
                        <a:noFill/>
                        <a:miter lim="400000"/>
                      </a:ln>
                      <a:effectLst/>
                    </wps:spPr>
                    <wps:txbx>
                      <w:txbxContent>
                        <w:p>
                          <w:pPr>
                            <w:pStyle w:val="Body A"/>
                            <w:spacing w:line="184" w:lineRule="exact"/>
                            <w:ind w:right="18"/>
                            <w:jc w:val="right"/>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Volume 5, Issue 3(Suppl)</w:t>
                          </w:r>
                          <w:r>
                            <w:rPr>
                              <w:rStyle w:val="None"/>
                              <w:rFonts w:ascii="Arial" w:cs="Arial" w:hAnsi="Arial" w:eastAsia="Arial"/>
                              <w:outline w:val="0"/>
                              <w:color w:val="ffffff"/>
                              <w:sz w:val="16"/>
                              <w:szCs w:val="16"/>
                              <w:u w:color="ffffff"/>
                              <w14:textFill>
                                <w14:solidFill>
                                  <w14:srgbClr w14:val="FFFFFF"/>
                                </w14:solidFill>
                              </w14:textFill>
                            </w:rPr>
                          </w:r>
                        </w:p>
                        <w:p>
                          <w:pPr>
                            <w:pStyle w:val="Body A"/>
                            <w:spacing w:before="116"/>
                            <w:ind w:right="18"/>
                            <w:jc w:val="right"/>
                          </w:pPr>
                          <w:r>
                            <w:rPr>
                              <w:rStyle w:val="None"/>
                              <w:rFonts w:ascii="Minion Pro" w:cs="Minion Pro" w:hAnsi="Minion Pro" w:eastAsia="Minion Pro"/>
                              <w:outline w:val="0"/>
                              <w:color w:val="ffffff"/>
                              <w:sz w:val="16"/>
                              <w:szCs w:val="16"/>
                              <w:u w:color="ffffff"/>
                              <w:rtl w:val="0"/>
                              <w:lang w:val="da-DK"/>
                              <w14:textFill>
                                <w14:solidFill>
                                  <w14:srgbClr w14:val="FFFFFF"/>
                                </w14:solidFill>
                              </w14:textFill>
                            </w:rPr>
                            <w:t>Page 40</w:t>
                          </w:r>
                        </w:p>
                      </w:txbxContent>
                    </wps:txbx>
                    <wps:bodyPr wrap="square" lIns="0" tIns="0" rIns="0" bIns="0" numCol="1" anchor="t">
                      <a:noAutofit/>
                    </wps:bodyPr>
                  </wps:wsp>
                </a:graphicData>
              </a:graphic>
            </wp:anchor>
          </w:drawing>
        </mc:Choice>
        <mc:Fallback>
          <w:pict>
            <v:shape id="_x0000_s1032"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spacing w:line="184" w:lineRule="exact"/>
                      <w:ind w:right="18"/>
                      <w:jc w:val="right"/>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Volume 5, Issue 3(Suppl)</w:t>
                    </w:r>
                    <w:r>
                      <w:rPr>
                        <w:rStyle w:val="None"/>
                        <w:rFonts w:ascii="Arial" w:cs="Arial" w:hAnsi="Arial" w:eastAsia="Arial"/>
                        <w:outline w:val="0"/>
                        <w:color w:val="ffffff"/>
                        <w:sz w:val="16"/>
                        <w:szCs w:val="16"/>
                        <w:u w:color="ffffff"/>
                        <w14:textFill>
                          <w14:solidFill>
                            <w14:srgbClr w14:val="FFFFFF"/>
                          </w14:solidFill>
                        </w14:textFill>
                      </w:rPr>
                    </w:r>
                  </w:p>
                  <w:p>
                    <w:pPr>
                      <w:pStyle w:val="Body A"/>
                      <w:spacing w:before="116"/>
                      <w:ind w:right="18"/>
                      <w:jc w:val="right"/>
                    </w:pPr>
                    <w:r>
                      <w:rPr>
                        <w:rStyle w:val="None"/>
                        <w:rFonts w:ascii="Minion Pro" w:cs="Minion Pro" w:hAnsi="Minion Pro" w:eastAsia="Minion Pro"/>
                        <w:outline w:val="0"/>
                        <w:color w:val="ffffff"/>
                        <w:sz w:val="16"/>
                        <w:szCs w:val="16"/>
                        <w:u w:color="ffffff"/>
                        <w:rtl w:val="0"/>
                        <w:lang w:val="da-DK"/>
                        <w14:textFill>
                          <w14:solidFill>
                            <w14:srgbClr w14:val="FFFFFF"/>
                          </w14:solidFill>
                        </w14:textFill>
                      </w:rPr>
                      <w:t>Page 40</w:t>
                    </w:r>
                  </w:p>
                </w:txbxContent>
              </v:textbox>
              <w10:wrap type="none" side="bothSides" anchorx="page" anchory="page"/>
            </v:shape>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Fill>
        <w14:solidFill>
          <w14:srgbClr w14:val="000000"/>
        </w14:solidFill>
      </w14:textFill>
    </w:rPr>
  </w:style>
  <w:style w:type="paragraph" w:styleId="Body A">
    <w:name w:val="Body A"/>
    <w:next w:val="Body A"/>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Hyperlink.0">
    <w:name w:val="Hyperlink.0"/>
    <w:rPr>
      <w:rFonts w:ascii="Arial" w:hAnsi="Arial"/>
      <w:outline w:val="0"/>
      <w:color w:val="ffffff"/>
      <w:sz w:val="14"/>
      <w:szCs w:val="14"/>
      <w:u w:color="ffffff"/>
      <w14:textFill>
        <w14:solidFill>
          <w14:srgbClr w14:val="FFFFFF"/>
        </w14:solidFill>
      </w14:textFill>
    </w:rPr>
  </w:style>
  <w:style w:type="character" w:styleId="None">
    <w:name w:val="None"/>
  </w:style>
  <w:style w:type="character" w:styleId="Hyperlink.1">
    <w:name w:val="Hyperlink.1"/>
    <w:basedOn w:val="None"/>
    <w:next w:val="Hyperlink.1"/>
    <w:rPr>
      <w:rFonts w:ascii="Arial" w:cs="Arial" w:hAnsi="Arial" w:eastAsia="Arial"/>
      <w:outline w:val="0"/>
      <w:color w:val="ffffff"/>
      <w:sz w:val="14"/>
      <w:szCs w:val="14"/>
      <w:u w:color="ffffff"/>
      <w:lang w:val="en-US"/>
      <w14:textFill>
        <w14:solidFill>
          <w14:srgbClr w14:val="FFFFFF"/>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w:name w:val="Heading"/>
    <w:next w:val="Heading"/>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1"/>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A">
    <w:name w:val="None A"/>
    <w:rPr>
      <w:lang w:val="en-US"/>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ru-RU"/>
      <w14:textOutline w14:w="12700" w14:cap="flat">
        <w14:noFill/>
        <w14:miter w14:lim="400000"/>
      </w14:textOutline>
      <w14:textFill>
        <w14:solidFill>
          <w14:srgbClr w14:val="000000"/>
        </w14:solidFill>
      </w14:textFill>
    </w:rPr>
  </w:style>
  <w:style w:type="character" w:styleId="Hyperlink.2">
    <w:name w:val="Hyperlink.2"/>
    <w:basedOn w:val="None"/>
    <w:next w:val="Hyperlink.2"/>
    <w:rPr>
      <w:outline w:val="0"/>
      <w:color w:val="0000ff"/>
      <w:sz w:val="12"/>
      <w:szCs w:val="12"/>
      <w:u w:val="single" w:color="0000ff"/>
      <w:lang w:val="en-US"/>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