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6B5DFA">
      <w:pPr>
        <w:pStyle w:val="1"/>
        <w:spacing w:before="170"/>
      </w:pPr>
      <w:r w:rsidRPr="006B5DFA">
        <w:rPr>
          <w:rFonts w:hint="eastAsia"/>
          <w:color w:val="337AB7"/>
        </w:rPr>
        <w:t>Mast cell</w:t>
      </w:r>
      <w:r w:rsidRPr="006B5DFA">
        <w:rPr>
          <w:color w:val="337AB7"/>
        </w:rPr>
        <w:t>s</w:t>
      </w:r>
      <w:r w:rsidRPr="006B5DFA">
        <w:rPr>
          <w:rFonts w:hint="eastAsia"/>
          <w:color w:val="337AB7"/>
        </w:rPr>
        <w:t xml:space="preserve"> contribute to</w:t>
      </w:r>
      <w:r w:rsidRPr="006B5DFA">
        <w:rPr>
          <w:color w:val="337AB7"/>
        </w:rPr>
        <w:t xml:space="preserve"> </w:t>
      </w:r>
      <w:r w:rsidRPr="006B5DFA">
        <w:rPr>
          <w:rFonts w:hint="eastAsia"/>
          <w:color w:val="337AB7"/>
        </w:rPr>
        <w:t xml:space="preserve">enterovirus 71 infection-induced pulmonary edema in </w:t>
      </w:r>
      <w:r w:rsidRPr="006B5DFA">
        <w:rPr>
          <w:color w:val="337AB7"/>
        </w:rPr>
        <w:t>neonatal mice</w:t>
      </w:r>
    </w:p>
    <w:p w:rsidR="00AE3E37" w:rsidRDefault="006B5DFA">
      <w:pPr>
        <w:pStyle w:val="a3"/>
        <w:spacing w:before="73" w:line="198" w:lineRule="exact"/>
        <w:ind w:left="100" w:right="5967"/>
        <w:rPr>
          <w:rFonts w:ascii="Arial"/>
        </w:rPr>
      </w:pPr>
      <w:r w:rsidRPr="006B5DFA">
        <w:rPr>
          <w:rFonts w:ascii="Arial" w:hint="eastAsia"/>
          <w:bCs/>
        </w:rPr>
        <w:t>Yuefei Jin, Chao Zhang, Rongguang Zhang, Shuaiyin Chen, Dejian Dang, Yuanlin Xi, Guangcai Duan</w:t>
      </w:r>
    </w:p>
    <w:p w:rsidR="00AE3E37" w:rsidRPr="006B5DFA" w:rsidRDefault="006B5DFA" w:rsidP="006B5DFA">
      <w:pPr>
        <w:pStyle w:val="a3"/>
        <w:ind w:firstLineChars="50" w:firstLine="90"/>
        <w:rPr>
          <w:rFonts w:ascii="Arial"/>
        </w:rPr>
      </w:pPr>
      <w:r w:rsidRPr="006B5DFA">
        <w:rPr>
          <w:rFonts w:ascii="Arial" w:hint="eastAsia"/>
        </w:rPr>
        <w:t>Department of Epidemiology, C</w:t>
      </w:r>
      <w:r w:rsidRPr="006B5DFA">
        <w:rPr>
          <w:rFonts w:ascii="Arial"/>
        </w:rPr>
        <w:t xml:space="preserve">ollege of </w:t>
      </w:r>
      <w:r w:rsidRPr="006B5DFA">
        <w:rPr>
          <w:rFonts w:ascii="Arial" w:hint="eastAsia"/>
        </w:rPr>
        <w:t>P</w:t>
      </w:r>
      <w:r w:rsidRPr="006B5DFA">
        <w:rPr>
          <w:rFonts w:ascii="Arial"/>
        </w:rPr>
        <w:t xml:space="preserve">ublic Health, Zhengzhou University, Zhengzhou, </w:t>
      </w:r>
      <w:r w:rsidRPr="006B5DFA">
        <w:rPr>
          <w:rFonts w:ascii="Arial" w:hint="eastAsia"/>
        </w:rPr>
        <w:t xml:space="preserve">Henan, </w:t>
      </w:r>
      <w:r w:rsidRPr="006B5DFA">
        <w:rPr>
          <w:rFonts w:ascii="Arial"/>
        </w:rPr>
        <w:t>People's Republic of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6B5DFA" w:rsidRDefault="00A9710C">
      <w:pPr>
        <w:pStyle w:val="3"/>
        <w:spacing w:before="147"/>
        <w:jc w:val="both"/>
        <w:rPr>
          <w:rFonts w:eastAsiaTheme="minorEastAsia" w:hint="eastAsia"/>
          <w:lang w:eastAsia="zh-CN"/>
        </w:rPr>
      </w:pPr>
      <w:r>
        <w:rPr>
          <w:color w:val="BF5A14"/>
        </w:rPr>
        <w:lastRenderedPageBreak/>
        <w:t>Abstract</w:t>
      </w:r>
    </w:p>
    <w:p w:rsidR="00AE3E37" w:rsidRDefault="006B5DFA">
      <w:pPr>
        <w:pStyle w:val="a3"/>
        <w:spacing w:before="90" w:line="280" w:lineRule="auto"/>
        <w:ind w:left="100"/>
        <w:jc w:val="both"/>
      </w:pPr>
      <w:r w:rsidRPr="006B5DFA">
        <w:rPr>
          <w:rFonts w:hint="eastAsia"/>
        </w:rPr>
        <w:t>E</w:t>
      </w:r>
      <w:r w:rsidRPr="006B5DFA">
        <w:t>nterovirus</w:t>
      </w:r>
      <w:r w:rsidRPr="006B5DFA">
        <w:rPr>
          <w:rFonts w:hint="eastAsia"/>
        </w:rPr>
        <w:t xml:space="preserve"> 71 (EV71) infection has been widely acknowledged as the main cause of severe hand, foot and mouth disease (HFMD), which</w:t>
      </w:r>
      <w:r w:rsidRPr="006B5DFA">
        <w:t xml:space="preserve"> may rapidly lead to fatal </w:t>
      </w:r>
      <w:r w:rsidRPr="006B5DFA">
        <w:rPr>
          <w:bCs/>
        </w:rPr>
        <w:t>pulmonary</w:t>
      </w:r>
      <w:r w:rsidRPr="006B5DFA">
        <w:t> </w:t>
      </w:r>
      <w:r w:rsidRPr="006B5DFA">
        <w:rPr>
          <w:bCs/>
        </w:rPr>
        <w:t>edema</w:t>
      </w:r>
      <w:r w:rsidRPr="006B5DFA">
        <w:rPr>
          <w:rFonts w:hint="eastAsia"/>
          <w:bCs/>
        </w:rPr>
        <w:t xml:space="preserve">. In this study, we established a mouse model for EV71 infection exhibiting </w:t>
      </w:r>
      <w:r w:rsidRPr="006B5DFA">
        <w:rPr>
          <w:rFonts w:hint="eastAsia"/>
        </w:rPr>
        <w:t>high incidence of severe symptoms with pulmonary edema. Mast cells (</w:t>
      </w:r>
      <w:r w:rsidRPr="006B5DFA">
        <w:rPr>
          <w:rFonts w:hint="eastAsia"/>
          <w:bCs/>
        </w:rPr>
        <w:t>MCs) accumulation, activation</w:t>
      </w:r>
      <w:r w:rsidRPr="006B5DFA">
        <w:rPr>
          <w:rFonts w:hint="eastAsia"/>
        </w:rPr>
        <w:t xml:space="preserve"> and allergic inflammation were found in the brains, lungs and skeletal muscle of mice after EV71 infection, especially in the lungs of mice. Levels of histamine, </w:t>
      </w:r>
      <w:hyperlink r:id="rId9" w:history="1">
        <w:r w:rsidRPr="006B5DFA">
          <w:rPr>
            <w:rStyle w:val="a8"/>
            <w:rFonts w:hint="eastAsia"/>
            <w:color w:val="auto"/>
            <w:u w:val="none"/>
          </w:rPr>
          <w:t>p</w:t>
        </w:r>
        <w:r w:rsidRPr="006B5DFA">
          <w:rPr>
            <w:rStyle w:val="a8"/>
            <w:color w:val="auto"/>
            <w:u w:val="none"/>
          </w:rPr>
          <w:t>latelet-activating factor</w:t>
        </w:r>
      </w:hyperlink>
      <w:r w:rsidRPr="006B5DFA">
        <w:rPr>
          <w:rFonts w:hint="eastAsia"/>
        </w:rPr>
        <w:t xml:space="preserve"> (PAF), i</w:t>
      </w:r>
      <w:r w:rsidRPr="006B5DFA">
        <w:t>nterleukin</w:t>
      </w:r>
      <w:r w:rsidRPr="006B5DFA">
        <w:rPr>
          <w:rFonts w:hint="eastAsia"/>
        </w:rPr>
        <w:t xml:space="preserve"> (IL)-4, IL-</w:t>
      </w:r>
      <w:r w:rsidRPr="006B5DFA">
        <w:t>5, IL-13</w:t>
      </w:r>
      <w:r w:rsidRPr="006B5DFA">
        <w:rPr>
          <w:rFonts w:hint="eastAsia"/>
        </w:rPr>
        <w:t xml:space="preserve">, </w:t>
      </w:r>
      <w:r w:rsidRPr="006B5DFA">
        <w:t>tumor necrosis factor-</w:t>
      </w:r>
      <w:r w:rsidRPr="006B5DFA">
        <w:rPr>
          <w:rFonts w:ascii="Arial" w:hAnsi="Arial" w:cs="Arial"/>
        </w:rPr>
        <w:t>α</w:t>
      </w:r>
      <w:r w:rsidRPr="006B5DFA">
        <w:rPr>
          <w:rFonts w:hint="eastAsia"/>
        </w:rPr>
        <w:t xml:space="preserve"> (</w:t>
      </w:r>
      <w:r w:rsidRPr="006B5DFA">
        <w:t>TNF-</w:t>
      </w:r>
      <w:r w:rsidRPr="006B5DFA">
        <w:rPr>
          <w:rFonts w:ascii="Arial" w:hAnsi="Arial" w:cs="Arial"/>
        </w:rPr>
        <w:t>α</w:t>
      </w:r>
      <w:r w:rsidRPr="006B5DFA">
        <w:rPr>
          <w:rFonts w:hint="eastAsia"/>
        </w:rPr>
        <w:t>), n</w:t>
      </w:r>
      <w:r w:rsidRPr="006B5DFA">
        <w:t>itric oxide</w:t>
      </w:r>
      <w:r w:rsidRPr="006B5DFA">
        <w:rPr>
          <w:rFonts w:hint="eastAsia"/>
        </w:rPr>
        <w:t xml:space="preserve"> (NO), e</w:t>
      </w:r>
      <w:r w:rsidRPr="006B5DFA">
        <w:t>ndocrine gland-derived vascular endothelial growth factor</w:t>
      </w:r>
      <w:r w:rsidRPr="006B5DFA">
        <w:rPr>
          <w:rFonts w:hint="eastAsia"/>
        </w:rPr>
        <w:t xml:space="preserve"> (EG-VEGF) and n</w:t>
      </w:r>
      <w:r w:rsidRPr="006B5DFA">
        <w:t>oradrenaline</w:t>
      </w:r>
      <w:r w:rsidRPr="006B5DFA">
        <w:rPr>
          <w:rFonts w:hint="eastAsia"/>
        </w:rPr>
        <w:t xml:space="preserve"> (NA) were increased in EV71-infected lungs. In addition, EV71 infection reduced the number of pulmonary T cells, d</w:t>
      </w:r>
      <w:r w:rsidRPr="006B5DFA">
        <w:t xml:space="preserve">endritic </w:t>
      </w:r>
      <w:r w:rsidRPr="006B5DFA">
        <w:rPr>
          <w:rFonts w:hint="eastAsia"/>
        </w:rPr>
        <w:t>c</w:t>
      </w:r>
      <w:r w:rsidRPr="006B5DFA">
        <w:t>ells</w:t>
      </w:r>
      <w:r w:rsidRPr="006B5DFA">
        <w:rPr>
          <w:rFonts w:hint="eastAsia"/>
        </w:rPr>
        <w:t xml:space="preserve"> (DCs) and monocytes, and increased the number of lung eosinophils, Tregs and MCs. The number of MCs and level of tryptase expression in target organs or tissues posed a trend towards an increase from control to severe mice. T</w:t>
      </w:r>
      <w:r w:rsidRPr="006B5DFA">
        <w:t>here were positive correlation</w:t>
      </w:r>
      <w:r w:rsidRPr="006B5DFA">
        <w:rPr>
          <w:rFonts w:hint="eastAsia"/>
        </w:rPr>
        <w:t>s</w:t>
      </w:r>
      <w:r w:rsidRPr="006B5DFA">
        <w:t xml:space="preserve"> between</w:t>
      </w:r>
      <w:r w:rsidRPr="006B5DFA">
        <w:rPr>
          <w:rFonts w:hint="eastAsia"/>
        </w:rPr>
        <w:t xml:space="preserve"> the number of MCs in the brains (r=0.701, </w:t>
      </w:r>
      <w:r w:rsidRPr="006B5DFA">
        <w:rPr>
          <w:rFonts w:hint="eastAsia"/>
          <w:i/>
        </w:rPr>
        <w:t>P</w:t>
      </w:r>
      <w:r w:rsidRPr="006B5DFA">
        <w:rPr>
          <w:rFonts w:hint="eastAsia"/>
        </w:rPr>
        <w:t xml:space="preserve">=0.003), lungs (r=0.802, </w:t>
      </w:r>
      <w:r w:rsidRPr="006B5DFA">
        <w:rPr>
          <w:rFonts w:hint="eastAsia"/>
          <w:i/>
        </w:rPr>
        <w:t>P</w:t>
      </w:r>
      <w:r w:rsidRPr="006B5DFA">
        <w:rPr>
          <w:rFonts w:hint="eastAsia"/>
        </w:rPr>
        <w:t xml:space="preserve">&lt;0.0001), skeletal muscles (r=0.737, </w:t>
      </w:r>
      <w:r w:rsidRPr="006B5DFA">
        <w:rPr>
          <w:rFonts w:hint="eastAsia"/>
          <w:i/>
        </w:rPr>
        <w:t>P</w:t>
      </w:r>
      <w:r w:rsidRPr="006B5DFA">
        <w:rPr>
          <w:rFonts w:hint="eastAsia"/>
        </w:rPr>
        <w:t xml:space="preserve">=0.001) and mean clinical score. Thus, our results suggested </w:t>
      </w:r>
      <w:r w:rsidRPr="006B5DFA">
        <w:t>that</w:t>
      </w:r>
      <w:r w:rsidRPr="006B5DFA">
        <w:rPr>
          <w:rFonts w:hint="eastAsia"/>
        </w:rPr>
        <w:t xml:space="preserve"> MCs might contribute </w:t>
      </w:r>
      <w:r w:rsidRPr="006B5DFA">
        <w:t>to the</w:t>
      </w:r>
      <w:r w:rsidRPr="006B5DFA">
        <w:rPr>
          <w:rFonts w:hint="eastAsia"/>
        </w:rPr>
        <w:t xml:space="preserve"> pulmonary edema during EV71 infection.</w:t>
      </w:r>
    </w:p>
    <w:p w:rsidR="00AE3E37" w:rsidRDefault="00A9710C">
      <w:pPr>
        <w:pStyle w:val="3"/>
        <w:spacing w:before="74"/>
      </w:pPr>
      <w:r>
        <w:rPr>
          <w:b w:val="0"/>
        </w:rPr>
        <w:br w:type="column"/>
      </w:r>
      <w:r w:rsidRPr="004E6EF6">
        <w:rPr>
          <w:color w:val="BF5A14"/>
          <w:highlight w:val="yellow"/>
        </w:rPr>
        <w:lastRenderedPageBreak/>
        <w:t>Image</w:t>
      </w:r>
    </w:p>
    <w:p w:rsidR="00AE3E37" w:rsidRDefault="006B5DFA" w:rsidP="006B5DFA">
      <w:pPr>
        <w:pStyle w:val="a3"/>
        <w:spacing w:before="2"/>
        <w:jc w:val="center"/>
        <w:rPr>
          <w:rFonts w:ascii="Arial" w:eastAsiaTheme="minorEastAsia" w:hint="eastAsia"/>
          <w:b/>
          <w:sz w:val="16"/>
          <w:lang w:eastAsia="zh-CN"/>
        </w:rPr>
      </w:pPr>
      <w:r>
        <w:rPr>
          <w:rFonts w:ascii="Arial"/>
          <w:b/>
          <w:noProof/>
          <w:sz w:val="16"/>
          <w:lang w:eastAsia="zh-CN"/>
        </w:rPr>
        <w:drawing>
          <wp:inline distT="0" distB="0" distL="0" distR="0">
            <wp:extent cx="2160000" cy="2162602"/>
            <wp:effectExtent l="19050" t="0" r="0" b="0"/>
            <wp:docPr id="3" name="图片 2" descr="E:\工作 学习\我的论文\mast cell\Submission\Frontiers in cellular infection and\Figures\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工作 学习\我的论文\mast cell\Submission\Frontiers in cellular infection and\Figures\Figure 6.tif"/>
                    <pic:cNvPicPr>
                      <a:picLocks noChangeAspect="1" noChangeArrowheads="1"/>
                    </pic:cNvPicPr>
                  </pic:nvPicPr>
                  <pic:blipFill>
                    <a:blip r:embed="rId10" cstate="print"/>
                    <a:srcRect/>
                    <a:stretch>
                      <a:fillRect/>
                    </a:stretch>
                  </pic:blipFill>
                  <pic:spPr bwMode="auto">
                    <a:xfrm>
                      <a:off x="0" y="0"/>
                      <a:ext cx="2160000" cy="2162602"/>
                    </a:xfrm>
                    <a:prstGeom prst="rect">
                      <a:avLst/>
                    </a:prstGeom>
                    <a:noFill/>
                    <a:ln w="9525">
                      <a:noFill/>
                      <a:miter lim="800000"/>
                      <a:headEnd/>
                      <a:tailEnd/>
                    </a:ln>
                  </pic:spPr>
                </pic:pic>
              </a:graphicData>
            </a:graphic>
          </wp:inline>
        </w:drawing>
      </w:r>
    </w:p>
    <w:p w:rsidR="006B5DFA" w:rsidRPr="006B5DFA" w:rsidRDefault="006B5DFA" w:rsidP="006B5DFA">
      <w:pPr>
        <w:pStyle w:val="a3"/>
        <w:spacing w:before="2"/>
        <w:jc w:val="both"/>
        <w:rPr>
          <w:rFonts w:ascii="Arial" w:eastAsiaTheme="minorEastAsia" w:hAnsi="Arial" w:cs="Arial"/>
          <w:sz w:val="16"/>
          <w:lang w:eastAsia="zh-CN"/>
        </w:rPr>
      </w:pPr>
      <w:r w:rsidRPr="006B5DFA">
        <w:rPr>
          <w:rFonts w:ascii="Arial" w:hAnsi="Arial" w:cs="Arial"/>
          <w:color w:val="000000" w:themeColor="text1"/>
          <w:szCs w:val="24"/>
        </w:rPr>
        <w:t>F</w:t>
      </w:r>
      <w:r w:rsidRPr="006B5DFA">
        <w:rPr>
          <w:rFonts w:ascii="Arial" w:hAnsi="Arial" w:cs="Arial"/>
          <w:color w:val="000000" w:themeColor="text1"/>
          <w:szCs w:val="24"/>
          <w:lang w:eastAsia="zh-CN"/>
        </w:rPr>
        <w:t>igure</w:t>
      </w:r>
      <w:r w:rsidRPr="006B5DFA">
        <w:rPr>
          <w:rFonts w:ascii="Arial" w:hAnsi="Arial" w:cs="Arial"/>
          <w:color w:val="000000" w:themeColor="text1"/>
          <w:szCs w:val="24"/>
        </w:rPr>
        <w:t xml:space="preserve"> 6. Proposed mechanism of action for mast cell in the </w:t>
      </w:r>
      <w:r w:rsidRPr="006B5DFA">
        <w:rPr>
          <w:rFonts w:ascii="Arial" w:hAnsi="Arial" w:cs="Arial"/>
          <w:szCs w:val="24"/>
        </w:rPr>
        <w:t>the pathogenesis of EV71 infection</w:t>
      </w:r>
      <w:r w:rsidRPr="006B5DFA">
        <w:rPr>
          <w:rFonts w:ascii="Arial" w:hAnsi="Arial" w:cs="Arial"/>
          <w:szCs w:val="24"/>
          <w:lang w:eastAsia="zh-CN"/>
        </w:rPr>
        <w:t>.</w:t>
      </w:r>
    </w:p>
    <w:p w:rsidR="00AE3E37" w:rsidRPr="00B4350B" w:rsidRDefault="00414F7B">
      <w:pPr>
        <w:spacing w:before="157"/>
        <w:ind w:left="100"/>
        <w:rPr>
          <w:rFonts w:ascii="Arial" w:eastAsiaTheme="minorEastAsia" w:hint="eastAsia"/>
          <w:b/>
          <w:sz w:val="20"/>
          <w:lang w:eastAsia="zh-CN"/>
        </w:rPr>
      </w:pPr>
      <w:r w:rsidRPr="00492A52">
        <w:rPr>
          <w:rFonts w:ascii="Arial"/>
          <w:b/>
          <w:color w:val="BF5A14"/>
          <w:sz w:val="20"/>
          <w:highlight w:val="yellow"/>
        </w:rPr>
        <w:t>Recent publi</w:t>
      </w:r>
      <w:r w:rsidR="00C33602" w:rsidRPr="00492A52">
        <w:rPr>
          <w:rFonts w:ascii="Arial"/>
          <w:b/>
          <w:color w:val="BF5A14"/>
          <w:sz w:val="20"/>
          <w:highlight w:val="yellow"/>
        </w:rPr>
        <w:t>cations</w:t>
      </w:r>
    </w:p>
    <w:p w:rsidR="00B4350B" w:rsidRPr="00CB2B45" w:rsidRDefault="00B4350B" w:rsidP="00CB2B45">
      <w:pPr>
        <w:pStyle w:val="a3"/>
        <w:spacing w:before="82" w:line="200" w:lineRule="exact"/>
        <w:ind w:left="383" w:right="118" w:hanging="284"/>
        <w:jc w:val="both"/>
        <w:rPr>
          <w:rFonts w:ascii="Calibri" w:eastAsiaTheme="minorEastAsia" w:hAnsi="Calibri" w:cs="Calibri" w:hint="eastAsia"/>
          <w:lang w:eastAsia="zh-CN"/>
        </w:rPr>
      </w:pPr>
      <w:bookmarkStart w:id="0" w:name="_ENREF_1"/>
      <w:r w:rsidRPr="00B4350B">
        <w:rPr>
          <w:rFonts w:ascii="Calibri" w:eastAsia="Calibri" w:hAnsi="Calibri" w:cs="Calibri"/>
        </w:rPr>
        <w:t>1.</w:t>
      </w:r>
      <w:r w:rsidRPr="00B4350B">
        <w:rPr>
          <w:rFonts w:ascii="Calibri" w:eastAsia="Calibri" w:hAnsi="Calibri" w:cs="Calibri"/>
        </w:rPr>
        <w:tab/>
      </w:r>
      <w:r w:rsidRPr="00CB2B45">
        <w:rPr>
          <w:rFonts w:ascii="Calibri" w:eastAsia="Calibri" w:hAnsi="Calibri" w:cs="Calibri"/>
          <w:b/>
        </w:rPr>
        <w:t>Jin Y</w:t>
      </w:r>
      <w:r w:rsidRPr="00B4350B">
        <w:rPr>
          <w:rFonts w:ascii="Calibri" w:eastAsia="Calibri" w:hAnsi="Calibri" w:cs="Calibri"/>
        </w:rPr>
        <w:t>, Zhang C, Zhang R, Ren J, Chen S, Sui M, et al. Pulmonary edema following central nervous system lesions induced by a non- mouse-adapted EV71 strain in neonatal BALB/c mice. Virology journal. 2017;14(1):243. Epub 2017/12/29.</w:t>
      </w:r>
      <w:bookmarkEnd w:id="0"/>
      <w:r w:rsidR="00CB2B45">
        <w:rPr>
          <w:rFonts w:ascii="Calibri" w:eastAsiaTheme="minorEastAsia" w:hAnsi="Calibri" w:cs="Calibri" w:hint="eastAsia"/>
          <w:lang w:eastAsia="zh-CN"/>
        </w:rPr>
        <w:t xml:space="preserve"> (</w:t>
      </w:r>
      <w:r w:rsidR="00CB2B45" w:rsidRPr="00CB2B45">
        <w:rPr>
          <w:rFonts w:ascii="Calibri" w:eastAsiaTheme="minorEastAsia" w:hAnsi="Calibri" w:cs="Calibri" w:hint="eastAsia"/>
          <w:b/>
          <w:lang w:eastAsia="zh-CN"/>
        </w:rPr>
        <w:t>First author</w:t>
      </w:r>
      <w:r w:rsidR="00CB2B45">
        <w:rPr>
          <w:rFonts w:ascii="Calibri" w:eastAsiaTheme="minorEastAsia" w:hAnsi="Calibri" w:cs="Calibri" w:hint="eastAsia"/>
          <w:lang w:eastAsia="zh-CN"/>
        </w:rPr>
        <w:t>)</w:t>
      </w:r>
    </w:p>
    <w:p w:rsidR="00B4350B" w:rsidRPr="00CB2B45" w:rsidRDefault="00B4350B" w:rsidP="00CB2B45">
      <w:pPr>
        <w:pStyle w:val="a3"/>
        <w:spacing w:before="82" w:line="200" w:lineRule="exact"/>
        <w:ind w:left="383" w:right="118" w:hanging="284"/>
        <w:jc w:val="both"/>
        <w:rPr>
          <w:rFonts w:ascii="Calibri" w:eastAsiaTheme="minorEastAsia" w:hAnsi="Calibri" w:cs="Calibri" w:hint="eastAsia"/>
          <w:lang w:eastAsia="zh-CN"/>
        </w:rPr>
      </w:pPr>
      <w:bookmarkStart w:id="1" w:name="_ENREF_2"/>
      <w:r w:rsidRPr="00B4350B">
        <w:rPr>
          <w:rFonts w:ascii="Calibri" w:eastAsia="Calibri" w:hAnsi="Calibri" w:cs="Calibri"/>
        </w:rPr>
        <w:t>2.</w:t>
      </w:r>
      <w:r w:rsidRPr="00B4350B">
        <w:rPr>
          <w:rFonts w:ascii="Calibri" w:eastAsia="Calibri" w:hAnsi="Calibri" w:cs="Calibri"/>
        </w:rPr>
        <w:tab/>
        <w:t>Dang D, Zhang C, Zhang R, Wu W, Chen S, Ren J, et al. Involvement of inducible nitric oxide synthase and mitochondrial dysfunction in the pathogenesis of enterovirus 71 infection. Oncotarget. 2017;8(46):81014-26. Epub 2017/11/09.</w:t>
      </w:r>
      <w:bookmarkEnd w:id="1"/>
      <w:r w:rsidR="00CB2B45">
        <w:rPr>
          <w:rFonts w:ascii="Calibri" w:eastAsiaTheme="minorEastAsia" w:hAnsi="Calibri" w:cs="Calibri" w:hint="eastAsia"/>
          <w:lang w:eastAsia="zh-CN"/>
        </w:rPr>
        <w:t xml:space="preserve"> (</w:t>
      </w:r>
      <w:r w:rsidR="00CB2B45" w:rsidRPr="00CB2B45">
        <w:rPr>
          <w:rFonts w:ascii="Calibri" w:eastAsiaTheme="minorEastAsia" w:hAnsi="Calibri" w:cs="Calibri" w:hint="eastAsia"/>
          <w:b/>
          <w:lang w:eastAsia="zh-CN"/>
        </w:rPr>
        <w:t>Corresponding author</w:t>
      </w:r>
      <w:r w:rsidR="00CB2B45">
        <w:rPr>
          <w:rFonts w:ascii="Calibri" w:eastAsiaTheme="minorEastAsia" w:hAnsi="Calibri" w:cs="Calibri" w:hint="eastAsia"/>
          <w:lang w:eastAsia="zh-CN"/>
        </w:rPr>
        <w:t>)</w:t>
      </w:r>
    </w:p>
    <w:p w:rsidR="00B4350B" w:rsidRPr="00CB2B45" w:rsidRDefault="00B4350B" w:rsidP="00CB2B45">
      <w:pPr>
        <w:pStyle w:val="a3"/>
        <w:spacing w:before="82" w:line="200" w:lineRule="exact"/>
        <w:ind w:left="383" w:right="118" w:hanging="284"/>
        <w:jc w:val="both"/>
        <w:rPr>
          <w:rFonts w:ascii="Calibri" w:eastAsiaTheme="minorEastAsia" w:hAnsi="Calibri" w:cs="Calibri" w:hint="eastAsia"/>
          <w:lang w:eastAsia="zh-CN"/>
        </w:rPr>
      </w:pPr>
      <w:bookmarkStart w:id="2" w:name="_ENREF_3"/>
      <w:r w:rsidRPr="00B4350B">
        <w:rPr>
          <w:rFonts w:ascii="Calibri" w:eastAsia="Calibri" w:hAnsi="Calibri" w:cs="Calibri"/>
        </w:rPr>
        <w:t>3.</w:t>
      </w:r>
      <w:r w:rsidRPr="00B4350B">
        <w:rPr>
          <w:rFonts w:ascii="Calibri" w:eastAsia="Calibri" w:hAnsi="Calibri" w:cs="Calibri"/>
        </w:rPr>
        <w:tab/>
      </w:r>
      <w:bookmarkEnd w:id="2"/>
      <w:r w:rsidR="00CB2B45" w:rsidRPr="00CB2B45">
        <w:rPr>
          <w:rFonts w:ascii="Calibri" w:eastAsia="Calibri" w:hAnsi="Calibri" w:cs="Calibri"/>
        </w:rPr>
        <w:t xml:space="preserve">Feng F, </w:t>
      </w:r>
      <w:r w:rsidR="00CB2B45" w:rsidRPr="00CB2B45">
        <w:rPr>
          <w:rFonts w:ascii="Calibri" w:eastAsia="Calibri" w:hAnsi="Calibri" w:cs="Calibri"/>
          <w:b/>
        </w:rPr>
        <w:t>Jin Y</w:t>
      </w:r>
      <w:r w:rsidR="00CB2B45" w:rsidRPr="00CB2B45">
        <w:rPr>
          <w:rFonts w:ascii="Calibri" w:eastAsia="Calibri" w:hAnsi="Calibri" w:cs="Calibri"/>
        </w:rPr>
        <w:t>, Duan L, Yan Z, Wang S, Li F, et al. Regulation of ozone-induced lung inflammation by the epidermal growth factor receptor in mice. Environmental toxicology. 2015. Epub 2015/10/16.</w:t>
      </w:r>
      <w:r w:rsidR="00CB2B45">
        <w:rPr>
          <w:rFonts w:ascii="Calibri" w:eastAsiaTheme="minorEastAsia" w:hAnsi="Calibri" w:cs="Calibri" w:hint="eastAsia"/>
          <w:lang w:eastAsia="zh-CN"/>
        </w:rPr>
        <w:t xml:space="preserve"> (</w:t>
      </w:r>
      <w:r w:rsidR="00CB2B45" w:rsidRPr="00CB2B45">
        <w:rPr>
          <w:rFonts w:ascii="Calibri" w:eastAsiaTheme="minorEastAsia" w:hAnsi="Calibri" w:cs="Calibri" w:hint="eastAsia"/>
          <w:b/>
          <w:lang w:eastAsia="zh-CN"/>
        </w:rPr>
        <w:t>Co-first author</w:t>
      </w:r>
      <w:r w:rsidR="00CB2B45">
        <w:rPr>
          <w:rFonts w:ascii="Calibri" w:eastAsiaTheme="minorEastAsia" w:hAnsi="Calibri" w:cs="Calibri" w:hint="eastAsia"/>
          <w:lang w:eastAsia="zh-CN"/>
        </w:rPr>
        <w:t>)</w:t>
      </w:r>
    </w:p>
    <w:p w:rsidR="00B4350B" w:rsidRPr="00B4350B" w:rsidRDefault="00B4350B" w:rsidP="00CB2B45">
      <w:pPr>
        <w:pStyle w:val="a3"/>
        <w:spacing w:before="82" w:line="200" w:lineRule="exact"/>
        <w:ind w:left="383" w:right="118" w:hanging="284"/>
        <w:jc w:val="both"/>
        <w:rPr>
          <w:rFonts w:ascii="Calibri" w:eastAsia="Calibri" w:hAnsi="Calibri" w:cs="Calibri"/>
        </w:rPr>
      </w:pPr>
      <w:bookmarkStart w:id="3" w:name="_ENREF_4"/>
      <w:r w:rsidRPr="00B4350B">
        <w:rPr>
          <w:rFonts w:ascii="Calibri" w:eastAsia="Calibri" w:hAnsi="Calibri" w:cs="Calibri"/>
        </w:rPr>
        <w:t>4.</w:t>
      </w:r>
      <w:r w:rsidRPr="00B4350B">
        <w:rPr>
          <w:rFonts w:ascii="Calibri" w:eastAsia="Calibri" w:hAnsi="Calibri" w:cs="Calibri"/>
        </w:rPr>
        <w:tab/>
      </w:r>
      <w:r w:rsidRPr="00CB2B45">
        <w:rPr>
          <w:rFonts w:ascii="Calibri" w:eastAsia="Calibri" w:hAnsi="Calibri" w:cs="Calibri"/>
          <w:b/>
        </w:rPr>
        <w:t>Jin Y</w:t>
      </w:r>
      <w:r w:rsidRPr="00B4350B">
        <w:rPr>
          <w:rFonts w:ascii="Calibri" w:eastAsia="Calibri" w:hAnsi="Calibri" w:cs="Calibri"/>
        </w:rPr>
        <w:t>, Wu Z, Wang N, Duan S, Wu Y, Wang J, et al. Association of EGF Receptor and NLRs signaling with Cardiac Inflammation and Fibrosis in Mice Exposed to Fine Particulate Matter. Journal of biochemical and molecular toxicology. 2016;30(9):429-37. Epub 2016/05/10.</w:t>
      </w:r>
      <w:bookmarkEnd w:id="3"/>
      <w:r w:rsidR="00CB2B45" w:rsidRPr="00CB2B45">
        <w:rPr>
          <w:rFonts w:ascii="Calibri" w:eastAsiaTheme="minorEastAsia" w:hAnsi="Calibri" w:cs="Calibri" w:hint="eastAsia"/>
          <w:lang w:eastAsia="zh-CN"/>
        </w:rPr>
        <w:t xml:space="preserve"> </w:t>
      </w:r>
      <w:r w:rsidR="00CB2B45">
        <w:rPr>
          <w:rFonts w:ascii="Calibri" w:eastAsiaTheme="minorEastAsia" w:hAnsi="Calibri" w:cs="Calibri" w:hint="eastAsia"/>
          <w:lang w:eastAsia="zh-CN"/>
        </w:rPr>
        <w:t>(</w:t>
      </w:r>
      <w:r w:rsidR="00CB2B45" w:rsidRPr="00CB2B45">
        <w:rPr>
          <w:rFonts w:ascii="Calibri" w:eastAsiaTheme="minorEastAsia" w:hAnsi="Calibri" w:cs="Calibri" w:hint="eastAsia"/>
          <w:b/>
          <w:lang w:eastAsia="zh-CN"/>
        </w:rPr>
        <w:t>First author</w:t>
      </w:r>
      <w:r w:rsidR="00CB2B45">
        <w:rPr>
          <w:rFonts w:ascii="Calibri" w:eastAsiaTheme="minorEastAsia" w:hAnsi="Calibri" w:cs="Calibri" w:hint="eastAsia"/>
          <w:lang w:eastAsia="zh-CN"/>
        </w:rPr>
        <w:t>)</w:t>
      </w:r>
    </w:p>
    <w:p w:rsidR="00AE3E37" w:rsidRDefault="00B4350B" w:rsidP="00CB2B45">
      <w:pPr>
        <w:pStyle w:val="a3"/>
        <w:spacing w:before="82" w:line="200" w:lineRule="exact"/>
        <w:ind w:left="383" w:right="11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bookmarkStart w:id="4" w:name="_ENREF_5"/>
      <w:r w:rsidRPr="00B4350B">
        <w:rPr>
          <w:rFonts w:ascii="Calibri" w:eastAsia="Calibri" w:hAnsi="Calibri" w:cs="Calibri"/>
        </w:rPr>
        <w:t>5.</w:t>
      </w:r>
      <w:r w:rsidRPr="00B4350B">
        <w:rPr>
          <w:rFonts w:ascii="Calibri" w:eastAsia="Calibri" w:hAnsi="Calibri" w:cs="Calibri"/>
        </w:rPr>
        <w:tab/>
      </w:r>
      <w:r w:rsidRPr="00CB2B45">
        <w:rPr>
          <w:rFonts w:ascii="Calibri" w:eastAsia="Calibri" w:hAnsi="Calibri" w:cs="Calibri"/>
          <w:b/>
        </w:rPr>
        <w:t>Jin Y</w:t>
      </w:r>
      <w:r w:rsidRPr="00B4350B">
        <w:rPr>
          <w:rFonts w:ascii="Calibri" w:eastAsia="Calibri" w:hAnsi="Calibri" w:cs="Calibri"/>
        </w:rPr>
        <w:t>, Wu W, Zhang W, Zhao Y, Wu Y, Ge G, et al. Involvement of EGF receptor signaling and NLRP12 inflammasome in fine particulate matter-induced lung inflammation in mice. Environmental toxicology. 2016. Epub 2016/07/06.</w:t>
      </w:r>
      <w:bookmarkEnd w:id="4"/>
      <w:r w:rsidR="00CB2B45" w:rsidRPr="00CB2B45">
        <w:rPr>
          <w:rFonts w:ascii="Calibri" w:hAnsi="Calibri" w:hint="eastAsia"/>
        </w:rPr>
        <w:t>(</w:t>
      </w:r>
      <w:r w:rsidR="00CB2B45" w:rsidRPr="00CB2B45">
        <w:rPr>
          <w:rFonts w:ascii="Calibri" w:hAnsi="Calibri" w:hint="eastAsia"/>
          <w:b/>
        </w:rPr>
        <w:t>First author</w:t>
      </w:r>
      <w:r w:rsidR="00CB2B45" w:rsidRPr="00CB2B45">
        <w:rPr>
          <w:rFonts w:ascii="Calibri" w:hAnsi="Calibri" w:hint="eastAsia"/>
        </w:rPr>
        <w:t>)</w:t>
      </w:r>
    </w:p>
    <w:p w:rsidR="00AE3E37" w:rsidRDefault="00AE3E37">
      <w:pPr>
        <w:pStyle w:val="a3"/>
        <w:spacing w:before="5" w:after="1"/>
        <w:rPr>
          <w:rFonts w:ascii="Calibri"/>
          <w:sz w:val="29"/>
        </w:rPr>
      </w:pPr>
    </w:p>
    <w:p w:rsidR="00AE3E37" w:rsidRDefault="00276D74">
      <w:pPr>
        <w:pStyle w:val="a3"/>
        <w:spacing w:line="40" w:lineRule="exact"/>
        <w:ind w:left="2202"/>
        <w:rPr>
          <w:rFonts w:ascii="Calibri"/>
          <w:sz w:val="4"/>
        </w:rPr>
      </w:pPr>
      <w:r w:rsidRPr="00276D74">
        <w:rPr>
          <w:rFonts w:ascii="Calibri"/>
          <w:noProof/>
          <w:sz w:val="4"/>
          <w:lang w:val="en-IN" w:eastAsia="en-IN"/>
        </w:rPr>
      </w:r>
      <w:r w:rsidRPr="00276D7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Pr="006B5DFA" w:rsidRDefault="004F3523" w:rsidP="00404E5B">
      <w:pPr>
        <w:spacing w:before="92"/>
        <w:ind w:right="4234"/>
        <w:rPr>
          <w:rFonts w:ascii="Arial" w:eastAsiaTheme="minorEastAsia" w:hint="eastAsia"/>
          <w:lang w:eastAsia="zh-CN"/>
        </w:rPr>
      </w:pPr>
      <w:r>
        <w:rPr>
          <w:noProof/>
          <w:lang w:eastAsia="zh-CN"/>
        </w:rPr>
        <w:drawing>
          <wp:anchor distT="0" distB="0" distL="114300" distR="114300" simplePos="0" relativeHeight="251659264" behindDoc="0" locked="0" layoutInCell="1" allowOverlap="1">
            <wp:simplePos x="0" y="0"/>
            <wp:positionH relativeFrom="column">
              <wp:posOffset>133985</wp:posOffset>
            </wp:positionH>
            <wp:positionV relativeFrom="paragraph">
              <wp:posOffset>66675</wp:posOffset>
            </wp:positionV>
            <wp:extent cx="566420" cy="572135"/>
            <wp:effectExtent l="19050" t="0" r="508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cstate="print"/>
                    <a:stretch>
                      <a:fillRect/>
                    </a:stretch>
                  </pic:blipFill>
                  <pic:spPr bwMode="auto">
                    <a:xfrm>
                      <a:off x="0" y="0"/>
                      <a:ext cx="566420" cy="572135"/>
                    </a:xfrm>
                    <a:prstGeom prst="rect">
                      <a:avLst/>
                    </a:prstGeom>
                    <a:noFill/>
                    <a:ln>
                      <a:noFill/>
                    </a:ln>
                  </pic:spPr>
                </pic:pic>
              </a:graphicData>
            </a:graphic>
          </wp:anchor>
        </w:drawing>
      </w:r>
      <w:r w:rsidR="00A9710C" w:rsidRPr="004E6EF6">
        <w:rPr>
          <w:rFonts w:ascii="Arial"/>
          <w:color w:val="BF5A14"/>
          <w:highlight w:val="yellow"/>
        </w:rPr>
        <w:t>Biography</w:t>
      </w:r>
    </w:p>
    <w:p w:rsidR="00AE3E37" w:rsidRPr="00EB167F" w:rsidRDefault="00F836DE">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Yuefei Jin</w:t>
      </w:r>
      <w:r>
        <w:rPr>
          <w:rFonts w:ascii="Arial"/>
          <w:sz w:val="14"/>
        </w:rPr>
        <w:t xml:space="preserve"> </w:t>
      </w:r>
      <w:r w:rsidR="00EB167F">
        <w:rPr>
          <w:rFonts w:ascii="Arial" w:eastAsiaTheme="minorEastAsia" w:hint="eastAsia"/>
          <w:sz w:val="14"/>
          <w:lang w:eastAsia="zh-CN"/>
        </w:rPr>
        <w:t>is undergoing his PhD program in Zhengzhou University and Duke University Medical Center</w:t>
      </w:r>
      <w:r w:rsidR="00A9710C">
        <w:rPr>
          <w:rFonts w:ascii="Arial"/>
          <w:sz w:val="14"/>
        </w:rPr>
        <w:t xml:space="preserve">. </w:t>
      </w:r>
      <w:r w:rsidR="00EB167F">
        <w:rPr>
          <w:rFonts w:ascii="Arial" w:eastAsiaTheme="minorEastAsia" w:hint="eastAsia"/>
          <w:sz w:val="14"/>
          <w:lang w:eastAsia="zh-CN"/>
        </w:rPr>
        <w:t xml:space="preserve"> His mentors are Guangcai Duan, PhD and Weiguo Zhang PhD. He is working on the mechanism of EV71 infection-induced hand, foot and mouth disease. He has established a neonatal mouse model for EV71 infection and have revealed that iNOS system and mast cells are involved in EV71 infection-induced </w:t>
      </w:r>
      <w:r w:rsidR="00EB167F">
        <w:rPr>
          <w:rFonts w:ascii="Arial" w:eastAsiaTheme="minorEastAsia"/>
          <w:sz w:val="14"/>
          <w:lang w:eastAsia="zh-CN"/>
        </w:rPr>
        <w:t>pulmonary</w:t>
      </w:r>
      <w:r w:rsidR="00EB167F">
        <w:rPr>
          <w:rFonts w:ascii="Arial" w:eastAsiaTheme="minorEastAsia" w:hint="eastAsia"/>
          <w:sz w:val="14"/>
          <w:lang w:eastAsia="zh-CN"/>
        </w:rPr>
        <w:t xml:space="preserve"> edema. In the future, he will still working on the </w:t>
      </w:r>
      <w:r w:rsidR="00EB167F">
        <w:rPr>
          <w:rFonts w:ascii="Arial" w:eastAsiaTheme="minorEastAsia"/>
          <w:sz w:val="14"/>
          <w:lang w:eastAsia="zh-CN"/>
        </w:rPr>
        <w:t>children</w:t>
      </w:r>
      <w:r w:rsidR="00EB167F">
        <w:rPr>
          <w:rFonts w:ascii="Arial" w:eastAsiaTheme="minorEastAsia"/>
          <w:sz w:val="14"/>
          <w:lang w:eastAsia="zh-CN"/>
        </w:rPr>
        <w:t>’</w:t>
      </w:r>
      <w:r w:rsidR="00EB167F">
        <w:rPr>
          <w:rFonts w:ascii="Arial" w:eastAsiaTheme="minorEastAsia" w:hint="eastAsia"/>
          <w:sz w:val="14"/>
          <w:lang w:eastAsia="zh-CN"/>
        </w:rPr>
        <w:t>s infectious disease, hand, foot and mouth disease and the possible cellular mechanism.</w:t>
      </w:r>
    </w:p>
    <w:p w:rsidR="00AE3E37" w:rsidRDefault="00A9710C">
      <w:pPr>
        <w:spacing w:before="62"/>
        <w:ind w:left="4217" w:right="4235"/>
        <w:jc w:val="center"/>
        <w:rPr>
          <w:rFonts w:ascii="Arial"/>
          <w:sz w:val="14"/>
        </w:rPr>
      </w:pPr>
      <w:r>
        <w:rPr>
          <w:rFonts w:ascii="Arial"/>
          <w:sz w:val="14"/>
        </w:rPr>
        <w:t xml:space="preserve">Email: </w:t>
      </w:r>
      <w:hyperlink r:id="rId12" w:history="1">
        <w:r w:rsidR="00EB167F" w:rsidRPr="00BF791C">
          <w:rPr>
            <w:rStyle w:val="a8"/>
            <w:rFonts w:ascii="Arial" w:eastAsiaTheme="minorEastAsia" w:hint="eastAsia"/>
            <w:sz w:val="14"/>
            <w:lang w:eastAsia="zh-CN"/>
          </w:rPr>
          <w:t>jinyuefeixuanchuan@163.com</w:t>
        </w:r>
      </w:hyperlink>
    </w:p>
    <w:p w:rsidR="00AE3E37" w:rsidRPr="00B21A57" w:rsidRDefault="00276D74" w:rsidP="00F836DE">
      <w:pPr>
        <w:pStyle w:val="a3"/>
        <w:spacing w:before="2"/>
        <w:rPr>
          <w:rFonts w:ascii="Minion Pro"/>
          <w:b/>
          <w:sz w:val="20"/>
        </w:rPr>
      </w:pPr>
      <w:r w:rsidRPr="00276D7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r w:rsidR="00A9710C" w:rsidRPr="00B21A57">
        <w:rPr>
          <w:rFonts w:ascii="Minion Pro"/>
          <w:b/>
          <w:sz w:val="20"/>
        </w:rPr>
        <w:t>Notes/Comments:</w:t>
      </w: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a3"/>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43B5" w:rsidRDefault="003243B5">
      <w:r>
        <w:separator/>
      </w:r>
    </w:p>
  </w:endnote>
  <w:endnote w:type="continuationSeparator" w:id="1">
    <w:p w:rsidR="003243B5" w:rsidRDefault="003243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76D74">
    <w:pPr>
      <w:pStyle w:val="a3"/>
      <w:spacing w:line="14" w:lineRule="auto"/>
      <w:rPr>
        <w:sz w:val="20"/>
      </w:rPr>
    </w:pPr>
    <w:r w:rsidRPr="00276D7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76D7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76D7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43B5" w:rsidRDefault="003243B5">
      <w:r>
        <w:separator/>
      </w:r>
    </w:p>
  </w:footnote>
  <w:footnote w:type="continuationSeparator" w:id="1">
    <w:p w:rsidR="003243B5" w:rsidRDefault="003243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76D74">
    <w:pPr>
      <w:pStyle w:val="a3"/>
      <w:spacing w:line="14" w:lineRule="auto"/>
      <w:rPr>
        <w:sz w:val="20"/>
      </w:rPr>
    </w:pPr>
    <w:r w:rsidRPr="00276D74">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76D74">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useFELayout/>
  </w:compat>
  <w:rsids>
    <w:rsidRoot w:val="00AE3E37"/>
    <w:rsid w:val="000C4051"/>
    <w:rsid w:val="000D0D49"/>
    <w:rsid w:val="000E2911"/>
    <w:rsid w:val="001263DF"/>
    <w:rsid w:val="00190F01"/>
    <w:rsid w:val="00276D74"/>
    <w:rsid w:val="003243B5"/>
    <w:rsid w:val="00404E5B"/>
    <w:rsid w:val="00414F7B"/>
    <w:rsid w:val="004355DC"/>
    <w:rsid w:val="004749B4"/>
    <w:rsid w:val="00483FE0"/>
    <w:rsid w:val="00492A52"/>
    <w:rsid w:val="004E6EF6"/>
    <w:rsid w:val="004F3523"/>
    <w:rsid w:val="005B3A56"/>
    <w:rsid w:val="006060CE"/>
    <w:rsid w:val="0063497F"/>
    <w:rsid w:val="006B5DFA"/>
    <w:rsid w:val="007D7771"/>
    <w:rsid w:val="00873DF0"/>
    <w:rsid w:val="009B2D44"/>
    <w:rsid w:val="00A0419B"/>
    <w:rsid w:val="00A9710C"/>
    <w:rsid w:val="00AE3E37"/>
    <w:rsid w:val="00B11197"/>
    <w:rsid w:val="00B21A57"/>
    <w:rsid w:val="00B42AC2"/>
    <w:rsid w:val="00B4350B"/>
    <w:rsid w:val="00C1387F"/>
    <w:rsid w:val="00C33602"/>
    <w:rsid w:val="00CB2B45"/>
    <w:rsid w:val="00CD6F55"/>
    <w:rsid w:val="00D15690"/>
    <w:rsid w:val="00EB167F"/>
    <w:rsid w:val="00F72EEA"/>
    <w:rsid w:val="00F836DE"/>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
    <w:uiPriority w:val="99"/>
    <w:unhideWhenUsed/>
    <w:rsid w:val="005B3A56"/>
    <w:pPr>
      <w:tabs>
        <w:tab w:val="center" w:pos="4513"/>
        <w:tab w:val="right" w:pos="9026"/>
      </w:tabs>
    </w:pPr>
  </w:style>
  <w:style w:type="character" w:customStyle="1" w:styleId="Char">
    <w:name w:val="页眉 Char"/>
    <w:basedOn w:val="a0"/>
    <w:link w:val="a5"/>
    <w:uiPriority w:val="99"/>
    <w:rsid w:val="005B3A56"/>
    <w:rPr>
      <w:rFonts w:ascii="Tw Cen MT" w:eastAsia="Tw Cen MT" w:hAnsi="Tw Cen MT" w:cs="Tw Cen MT"/>
    </w:rPr>
  </w:style>
  <w:style w:type="paragraph" w:styleId="a6">
    <w:name w:val="footer"/>
    <w:basedOn w:val="a"/>
    <w:link w:val="Char0"/>
    <w:uiPriority w:val="99"/>
    <w:unhideWhenUsed/>
    <w:rsid w:val="005B3A56"/>
    <w:pPr>
      <w:tabs>
        <w:tab w:val="center" w:pos="4513"/>
        <w:tab w:val="right" w:pos="9026"/>
      </w:tabs>
    </w:pPr>
  </w:style>
  <w:style w:type="character" w:customStyle="1" w:styleId="Char0">
    <w:name w:val="页脚 Char"/>
    <w:basedOn w:val="a0"/>
    <w:link w:val="a6"/>
    <w:uiPriority w:val="99"/>
    <w:rsid w:val="005B3A56"/>
    <w:rPr>
      <w:rFonts w:ascii="Tw Cen MT" w:eastAsia="Tw Cen MT" w:hAnsi="Tw Cen MT" w:cs="Tw Cen MT"/>
    </w:rPr>
  </w:style>
  <w:style w:type="paragraph" w:styleId="a7">
    <w:name w:val="Balloon Text"/>
    <w:basedOn w:val="a"/>
    <w:link w:val="Char1"/>
    <w:uiPriority w:val="99"/>
    <w:semiHidden/>
    <w:unhideWhenUsed/>
    <w:rsid w:val="004F3523"/>
    <w:rPr>
      <w:rFonts w:ascii="Tahoma" w:hAnsi="Tahoma" w:cs="Tahoma"/>
      <w:sz w:val="16"/>
      <w:szCs w:val="16"/>
    </w:rPr>
  </w:style>
  <w:style w:type="character" w:customStyle="1" w:styleId="Char1">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6B5D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jinyuefeixuanchuan@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s://en.wikipedia.org/wiki/Platelet-activating_facto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5</cp:revision>
  <dcterms:created xsi:type="dcterms:W3CDTF">2016-09-15T09:06:00Z</dcterms:created>
  <dcterms:modified xsi:type="dcterms:W3CDTF">2018-01-18T18:40:00Z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