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77113" w:rsidP="00494130">
      <w:pPr>
        <w:pStyle w:val="Heading1"/>
        <w:spacing w:before="170"/>
        <w:ind w:left="0"/>
      </w:pPr>
      <w:r>
        <w:rPr>
          <w:color w:val="337AB7"/>
        </w:rPr>
        <w:t>Antibiotic lethal effect</w:t>
      </w:r>
    </w:p>
    <w:p w:rsidR="00077113" w:rsidRDefault="00077113" w:rsidP="00077113">
      <w:pPr>
        <w:pStyle w:val="BodyText"/>
        <w:spacing w:before="73" w:line="198" w:lineRule="exact"/>
        <w:ind w:left="100" w:right="5987"/>
        <w:rPr>
          <w:rFonts w:ascii="Arial"/>
          <w:sz w:val="20"/>
        </w:rPr>
      </w:pPr>
      <w:r w:rsidRPr="00072ABD">
        <w:rPr>
          <w:rFonts w:asciiTheme="majorBidi" w:hAnsiTheme="majorBidi" w:cstheme="majorBidi"/>
          <w:b/>
          <w:bCs/>
          <w:lang w:bidi="ar-EG"/>
        </w:rPr>
        <w:t xml:space="preserve">Walaa Fikry </w:t>
      </w:r>
      <w:r w:rsidRPr="00072ABD">
        <w:rPr>
          <w:rFonts w:asciiTheme="majorBidi" w:hAnsiTheme="majorBidi" w:cstheme="majorBidi"/>
          <w:b/>
          <w:bCs/>
          <w:lang w:bidi="ar-EG"/>
        </w:rPr>
        <w:t>Elbossaty</w:t>
      </w:r>
      <w:bookmarkStart w:id="0" w:name="_GoBack"/>
      <w:bookmarkEnd w:id="0"/>
      <w:r>
        <w:rPr>
          <w:rFonts w:ascii="Arial"/>
        </w:rPr>
        <w:t>, PhD</w:t>
      </w:r>
      <w:r>
        <w:rPr>
          <w:rFonts w:ascii="Arial"/>
        </w:rPr>
        <w:t xml:space="preserve">, </w:t>
      </w:r>
      <w:r w:rsidRPr="00072ABD">
        <w:rPr>
          <w:rFonts w:asciiTheme="majorBidi" w:hAnsiTheme="majorBidi" w:cstheme="majorBidi"/>
          <w:lang w:bidi="ar-EG"/>
        </w:rPr>
        <w:t>Damietta University</w:t>
      </w:r>
      <w:r>
        <w:rPr>
          <w:rFonts w:ascii="Arial"/>
        </w:rPr>
        <w:t xml:space="preserve">, Egypt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077113" w:rsidRPr="008E056F" w:rsidRDefault="00077113" w:rsidP="00077113">
      <w:pPr>
        <w:pStyle w:val="p"/>
        <w:shd w:val="clear" w:color="auto" w:fill="FFFFFF"/>
        <w:spacing w:before="166" w:beforeAutospacing="0" w:after="166" w:afterAutospacing="0" w:line="360" w:lineRule="auto"/>
        <w:jc w:val="both"/>
        <w:rPr>
          <w:rFonts w:asciiTheme="majorBidi" w:hAnsiTheme="majorBidi" w:cstheme="majorBidi"/>
        </w:rPr>
      </w:pPr>
      <w:r w:rsidRPr="008E056F">
        <w:rPr>
          <w:rFonts w:asciiTheme="majorBidi" w:hAnsiTheme="majorBidi" w:cstheme="majorBidi"/>
        </w:rPr>
        <w:t>Antimicrobial resistance is the main reason for spreading various diseases in community. There are different mechanisms for drug resistance.one of antimicrobial resistance is antibiotic resistance bacteria. Some bacteria have resistance to antibiotic represent a big problem in treatment process, hence development of numerous diseases.  In this review, we summarize simple definition to bacteria resistance, mechanism action, and how we can avoid spread diseases. We also briefly mention the new trend for treatment antibiotic resistance bacteria.</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077113">
      <w:pPr>
        <w:pStyle w:val="BodyText"/>
        <w:spacing w:before="2"/>
        <w:rPr>
          <w:rFonts w:ascii="Arial"/>
          <w:b/>
          <w:sz w:val="16"/>
        </w:rPr>
      </w:pPr>
      <w:r w:rsidRPr="008E056F">
        <w:rPr>
          <w:rFonts w:asciiTheme="majorBidi" w:hAnsiTheme="majorBidi" w:cstheme="majorBidi"/>
          <w:noProof/>
          <w:sz w:val="24"/>
          <w:szCs w:val="24"/>
          <w:shd w:val="clear" w:color="auto" w:fill="F8F9FA"/>
        </w:rPr>
        <w:drawing>
          <wp:inline distT="0" distB="0" distL="0" distR="0" wp14:anchorId="13F66755" wp14:editId="6EE6E52B">
            <wp:extent cx="3165475" cy="13929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392999"/>
                    </a:xfrm>
                    <a:prstGeom prst="rect">
                      <a:avLst/>
                    </a:prstGeom>
                    <a:noFill/>
                    <a:ln>
                      <a:noFill/>
                    </a:ln>
                  </pic:spPr>
                </pic:pic>
              </a:graphicData>
            </a:graphic>
          </wp:inline>
        </w:drawing>
      </w:r>
    </w:p>
    <w:p w:rsidR="00077113" w:rsidRPr="008E056F" w:rsidRDefault="00077113" w:rsidP="00077113">
      <w:pPr>
        <w:spacing w:line="360" w:lineRule="auto"/>
        <w:jc w:val="center"/>
        <w:rPr>
          <w:rFonts w:asciiTheme="majorBidi" w:eastAsia="Times New Roman" w:hAnsiTheme="majorBidi" w:cstheme="majorBidi"/>
          <w:b/>
          <w:bCs/>
          <w:sz w:val="24"/>
          <w:szCs w:val="24"/>
          <w:lang w:bidi="ar-EG"/>
        </w:rPr>
      </w:pPr>
      <w:r w:rsidRPr="008E056F">
        <w:rPr>
          <w:rFonts w:asciiTheme="majorBidi" w:eastAsia="Times New Roman" w:hAnsiTheme="majorBidi" w:cstheme="majorBidi"/>
          <w:b/>
          <w:bCs/>
          <w:sz w:val="24"/>
          <w:szCs w:val="24"/>
          <w:lang w:bidi="ar-EG"/>
        </w:rPr>
        <w:t>Fig.1.Mechanism action of antibiotic resistance</w:t>
      </w:r>
    </w:p>
    <w:p w:rsidR="005973B9" w:rsidRDefault="005973B9" w:rsidP="005973B9">
      <w:pPr>
        <w:spacing w:line="204" w:lineRule="exact"/>
        <w:rPr>
          <w:rFonts w:ascii="Arial"/>
          <w:b/>
          <w:sz w:val="20"/>
        </w:rPr>
      </w:pPr>
      <w:r>
        <w:rPr>
          <w:rFonts w:ascii="Arial"/>
          <w:b/>
          <w:color w:val="BF5A14"/>
          <w:sz w:val="20"/>
        </w:rPr>
        <w:t>Recent Publications (minimum 5)</w:t>
      </w:r>
    </w:p>
    <w:p w:rsidR="00077113" w:rsidRPr="0072285F" w:rsidRDefault="00077113" w:rsidP="00077113">
      <w:pPr>
        <w:spacing w:line="360" w:lineRule="auto"/>
        <w:jc w:val="both"/>
        <w:rPr>
          <w:rFonts w:asciiTheme="minorHAnsi" w:hAnsiTheme="minorHAnsi"/>
          <w:color w:val="FF0000"/>
          <w:sz w:val="18"/>
          <w:szCs w:val="18"/>
        </w:rPr>
      </w:pPr>
      <w:r w:rsidRPr="0072285F">
        <w:rPr>
          <w:rFonts w:asciiTheme="minorHAnsi" w:hAnsiTheme="minorHAnsi"/>
          <w:sz w:val="18"/>
          <w:szCs w:val="18"/>
          <w:rtl/>
          <w:lang w:bidi="ar-EG"/>
        </w:rPr>
        <w:t>1</w:t>
      </w:r>
      <w:r w:rsidRPr="0072285F">
        <w:rPr>
          <w:rFonts w:asciiTheme="minorHAnsi" w:hAnsiTheme="minorHAnsi"/>
          <w:sz w:val="18"/>
          <w:szCs w:val="18"/>
        </w:rPr>
        <w:t xml:space="preserve">- </w:t>
      </w:r>
      <w:r w:rsidRPr="0072285F">
        <w:rPr>
          <w:rFonts w:asciiTheme="minorHAnsi" w:hAnsiTheme="minorHAnsi"/>
          <w:b/>
          <w:bCs/>
          <w:sz w:val="18"/>
          <w:szCs w:val="18"/>
        </w:rPr>
        <w:t>Expression of CD20 versus CD27 positive B lymphocyte in rheumatoid Arthritis.</w:t>
      </w:r>
      <w:r w:rsidRPr="0072285F">
        <w:rPr>
          <w:rFonts w:asciiTheme="minorHAnsi" w:hAnsiTheme="minorHAnsi"/>
          <w:sz w:val="18"/>
          <w:szCs w:val="18"/>
        </w:rPr>
        <w:t xml:space="preserve">  Egyptian Rheumatology &amp; Rehabilitation, 37(3):355-370., July 2010.</w:t>
      </w:r>
    </w:p>
    <w:p w:rsidR="00077113" w:rsidRPr="0072285F" w:rsidRDefault="00077113" w:rsidP="00077113">
      <w:pPr>
        <w:pStyle w:val="Default"/>
        <w:spacing w:line="360" w:lineRule="auto"/>
        <w:rPr>
          <w:rFonts w:asciiTheme="minorHAnsi" w:hAnsiTheme="minorHAnsi" w:cs="Times New Roman"/>
          <w:color w:val="FF0000"/>
          <w:sz w:val="18"/>
          <w:szCs w:val="18"/>
        </w:rPr>
      </w:pPr>
      <w:r w:rsidRPr="0072285F">
        <w:rPr>
          <w:rFonts w:asciiTheme="minorHAnsi" w:hAnsiTheme="minorHAnsi" w:cs="Times New Roman"/>
          <w:sz w:val="18"/>
          <w:szCs w:val="18"/>
        </w:rPr>
        <w:t xml:space="preserve"> </w:t>
      </w:r>
      <w:r w:rsidRPr="0072285F">
        <w:rPr>
          <w:rStyle w:val="A5"/>
          <w:rFonts w:asciiTheme="minorHAnsi" w:hAnsiTheme="minorHAnsi" w:cs="Times New Roman"/>
          <w:sz w:val="18"/>
          <w:szCs w:val="18"/>
        </w:rPr>
        <w:t>2- FHIT Gene Expression in Acute Lymphoblastic Leukemia and its Clinical Significance.</w:t>
      </w:r>
      <w:r w:rsidRPr="0072285F">
        <w:rPr>
          <w:rFonts w:asciiTheme="minorHAnsi" w:hAnsiTheme="minorHAnsi" w:cs="Times New Roman"/>
          <w:sz w:val="18"/>
          <w:szCs w:val="18"/>
        </w:rPr>
        <w:t xml:space="preserve">  </w:t>
      </w:r>
      <w:r w:rsidRPr="0072285F">
        <w:rPr>
          <w:rStyle w:val="A2"/>
          <w:rFonts w:asciiTheme="minorHAnsi" w:eastAsia="Tw Cen MT" w:hAnsiTheme="minorHAnsi" w:cs="Times New Roman"/>
          <w:i/>
          <w:iCs/>
          <w:sz w:val="18"/>
          <w:szCs w:val="18"/>
        </w:rPr>
        <w:t xml:space="preserve">Asian Pac J Cancer Prev, </w:t>
      </w:r>
      <w:r w:rsidRPr="0072285F">
        <w:rPr>
          <w:rStyle w:val="A2"/>
          <w:rFonts w:asciiTheme="minorHAnsi" w:eastAsia="Tw Cen MT" w:hAnsiTheme="minorHAnsi" w:cs="Times New Roman"/>
          <w:sz w:val="18"/>
          <w:szCs w:val="18"/>
        </w:rPr>
        <w:t>16 (17), 7795-7799</w:t>
      </w:r>
      <w:r w:rsidRPr="0072285F">
        <w:rPr>
          <w:rFonts w:asciiTheme="minorHAnsi" w:hAnsiTheme="minorHAnsi" w:cs="Times New Roman"/>
          <w:color w:val="auto"/>
          <w:sz w:val="18"/>
          <w:szCs w:val="18"/>
        </w:rPr>
        <w:t>. 2015</w:t>
      </w:r>
    </w:p>
    <w:p w:rsidR="00077113" w:rsidRPr="0072285F" w:rsidRDefault="00077113" w:rsidP="00077113">
      <w:pPr>
        <w:pStyle w:val="Default"/>
        <w:spacing w:line="360" w:lineRule="auto"/>
        <w:rPr>
          <w:rFonts w:asciiTheme="minorHAnsi" w:hAnsiTheme="minorHAnsi" w:cs="Times New Roman"/>
          <w:color w:val="auto"/>
          <w:sz w:val="18"/>
          <w:szCs w:val="18"/>
        </w:rPr>
      </w:pPr>
      <w:r w:rsidRPr="0072285F">
        <w:rPr>
          <w:rFonts w:asciiTheme="minorHAnsi" w:hAnsiTheme="minorHAnsi" w:cs="Times New Roman"/>
          <w:color w:val="auto"/>
          <w:sz w:val="18"/>
          <w:szCs w:val="18"/>
        </w:rPr>
        <w:t>3</w:t>
      </w:r>
      <w:r w:rsidRPr="0072285F">
        <w:rPr>
          <w:rFonts w:asciiTheme="minorHAnsi" w:hAnsiTheme="minorHAnsi" w:cs="Times New Roman"/>
          <w:b/>
          <w:bCs/>
          <w:color w:val="auto"/>
          <w:sz w:val="18"/>
          <w:szCs w:val="18"/>
        </w:rPr>
        <w:t>-</w:t>
      </w:r>
      <w:r w:rsidRPr="0072285F">
        <w:rPr>
          <w:rFonts w:asciiTheme="minorHAnsi" w:hAnsiTheme="minorHAnsi" w:cs="Times New Roman"/>
          <w:b/>
          <w:bCs/>
          <w:color w:val="FF0000"/>
          <w:sz w:val="18"/>
          <w:szCs w:val="18"/>
        </w:rPr>
        <w:t xml:space="preserve"> </w:t>
      </w:r>
      <w:r w:rsidRPr="0072285F">
        <w:rPr>
          <w:rFonts w:asciiTheme="minorHAnsi" w:hAnsiTheme="minorHAnsi" w:cs="Times New Roman"/>
          <w:b/>
          <w:bCs/>
          <w:sz w:val="18"/>
          <w:szCs w:val="18"/>
        </w:rPr>
        <w:t>Prognostic Value of Fragile Histidine Triad Gene Expression in Egyptian patients with Acute Myeloid Leukemia.</w:t>
      </w:r>
      <w:r w:rsidRPr="0072285F">
        <w:rPr>
          <w:rFonts w:asciiTheme="minorHAnsi" w:hAnsiTheme="minorHAnsi" w:cs="Times New Roman"/>
          <w:sz w:val="18"/>
          <w:szCs w:val="18"/>
        </w:rPr>
        <w:t xml:space="preserve"> International Journal of Advanced Research (2015), Volume 3, Issue 10, 1335 – 1342</w:t>
      </w:r>
      <w:r w:rsidRPr="0072285F">
        <w:rPr>
          <w:rFonts w:asciiTheme="minorHAnsi" w:hAnsiTheme="minorHAnsi" w:cs="Times New Roman"/>
          <w:color w:val="auto"/>
          <w:sz w:val="18"/>
          <w:szCs w:val="18"/>
        </w:rPr>
        <w:t>.</w:t>
      </w:r>
    </w:p>
    <w:p w:rsidR="00077113" w:rsidRPr="0072285F" w:rsidRDefault="00077113" w:rsidP="00077113">
      <w:pPr>
        <w:pStyle w:val="Default"/>
        <w:spacing w:line="360" w:lineRule="auto"/>
        <w:rPr>
          <w:rFonts w:asciiTheme="minorHAnsi" w:hAnsiTheme="minorHAnsi" w:cs="Times New Roman"/>
          <w:color w:val="auto"/>
          <w:sz w:val="18"/>
          <w:szCs w:val="18"/>
        </w:rPr>
      </w:pPr>
      <w:r w:rsidRPr="0072285F">
        <w:rPr>
          <w:rFonts w:asciiTheme="minorHAnsi" w:hAnsiTheme="minorHAnsi" w:cs="Times New Roman"/>
          <w:color w:val="auto"/>
          <w:sz w:val="18"/>
          <w:szCs w:val="18"/>
        </w:rPr>
        <w:t xml:space="preserve">4- </w:t>
      </w:r>
      <w:r w:rsidRPr="0072285F">
        <w:rPr>
          <w:rFonts w:asciiTheme="minorHAnsi" w:hAnsiTheme="minorHAnsi" w:cs="Times New Roman"/>
          <w:b/>
          <w:bCs/>
          <w:sz w:val="18"/>
          <w:szCs w:val="18"/>
        </w:rPr>
        <w:t>IMPLICATIONS PROGNOSTIC OF CLINICOPATHOLOGIC FEATURES IN ACUTE LEUKEMIA.</w:t>
      </w:r>
      <w:r w:rsidRPr="0072285F">
        <w:rPr>
          <w:rFonts w:asciiTheme="minorHAnsi" w:hAnsiTheme="minorHAnsi" w:cs="Times New Roman"/>
          <w:sz w:val="18"/>
          <w:szCs w:val="18"/>
        </w:rPr>
        <w:t xml:space="preserve"> </w:t>
      </w:r>
      <w:proofErr w:type="gramStart"/>
      <w:r w:rsidRPr="0072285F">
        <w:rPr>
          <w:rFonts w:asciiTheme="minorHAnsi" w:hAnsiTheme="minorHAnsi" w:cs="Times New Roman"/>
          <w:sz w:val="18"/>
          <w:szCs w:val="18"/>
        </w:rPr>
        <w:t>World Journal of Pharmacy and Pharmaceutical Sciences.</w:t>
      </w:r>
      <w:proofErr w:type="gramEnd"/>
      <w:r w:rsidRPr="0072285F">
        <w:rPr>
          <w:rFonts w:asciiTheme="minorHAnsi" w:hAnsiTheme="minorHAnsi" w:cs="Times New Roman"/>
          <w:sz w:val="18"/>
          <w:szCs w:val="18"/>
        </w:rPr>
        <w:t xml:space="preserve">  Volume 4, Issue 11, 413-428</w:t>
      </w:r>
      <w:r w:rsidRPr="0072285F">
        <w:rPr>
          <w:rFonts w:asciiTheme="minorHAnsi" w:hAnsiTheme="minorHAnsi" w:cs="Times New Roman"/>
          <w:color w:val="auto"/>
          <w:sz w:val="18"/>
          <w:szCs w:val="18"/>
        </w:rPr>
        <w:t>.,</w:t>
      </w:r>
      <w:r>
        <w:rPr>
          <w:rFonts w:asciiTheme="minorHAnsi" w:hAnsiTheme="minorHAnsi" w:cs="Times New Roman"/>
          <w:color w:val="auto"/>
          <w:sz w:val="18"/>
          <w:szCs w:val="18"/>
        </w:rPr>
        <w:t xml:space="preserve"> </w:t>
      </w:r>
      <w:r w:rsidRPr="0072285F">
        <w:rPr>
          <w:rFonts w:asciiTheme="minorHAnsi" w:hAnsiTheme="minorHAnsi" w:cs="Times New Roman"/>
          <w:color w:val="auto"/>
          <w:sz w:val="18"/>
          <w:szCs w:val="18"/>
        </w:rPr>
        <w:t>2015</w:t>
      </w:r>
    </w:p>
    <w:p w:rsidR="00077113" w:rsidRPr="0072285F" w:rsidRDefault="00077113" w:rsidP="00077113">
      <w:pPr>
        <w:pStyle w:val="Default"/>
        <w:spacing w:line="360" w:lineRule="auto"/>
        <w:rPr>
          <w:rFonts w:asciiTheme="minorHAnsi" w:hAnsiTheme="minorHAnsi" w:cs="Times New Roman"/>
          <w:sz w:val="18"/>
          <w:szCs w:val="18"/>
        </w:rPr>
      </w:pPr>
      <w:r w:rsidRPr="0072285F">
        <w:rPr>
          <w:rFonts w:asciiTheme="minorHAnsi" w:hAnsiTheme="minorHAnsi" w:cs="Times New Roman"/>
          <w:b/>
          <w:bCs/>
          <w:color w:val="auto"/>
          <w:sz w:val="18"/>
          <w:szCs w:val="18"/>
        </w:rPr>
        <w:t>5- Prognostic</w:t>
      </w:r>
      <w:r w:rsidRPr="0072285F">
        <w:rPr>
          <w:rFonts w:asciiTheme="minorHAnsi" w:hAnsiTheme="minorHAnsi" w:cs="Times New Roman"/>
          <w:b/>
          <w:bCs/>
          <w:sz w:val="18"/>
          <w:szCs w:val="18"/>
        </w:rPr>
        <w:t xml:space="preserve"> Relevance of Ww-Oxidoreductase Gene Expression in Patients with Acute Lymphoblastic Leukemia</w:t>
      </w:r>
      <w:r w:rsidRPr="0072285F">
        <w:rPr>
          <w:rFonts w:asciiTheme="minorHAnsi" w:hAnsiTheme="minorHAnsi" w:cs="Times New Roman"/>
          <w:b/>
          <w:bCs/>
          <w:color w:val="auto"/>
          <w:sz w:val="18"/>
          <w:szCs w:val="18"/>
        </w:rPr>
        <w:t>.</w:t>
      </w:r>
      <w:r w:rsidRPr="0072285F">
        <w:rPr>
          <w:rStyle w:val="FollowedHyperlink"/>
          <w:rFonts w:asciiTheme="minorHAnsi" w:hAnsiTheme="minorHAnsi" w:cs="Times New Roman"/>
          <w:b/>
          <w:bCs/>
          <w:sz w:val="18"/>
          <w:szCs w:val="18"/>
        </w:rPr>
        <w:t xml:space="preserve"> </w:t>
      </w:r>
      <w:r w:rsidRPr="0072285F">
        <w:rPr>
          <w:rStyle w:val="A3"/>
          <w:rFonts w:asciiTheme="minorHAnsi" w:hAnsiTheme="minorHAnsi" w:cs="Times New Roman"/>
          <w:sz w:val="18"/>
          <w:szCs w:val="18"/>
        </w:rPr>
        <w:t>J Cancer Sci Ther 7: 302-307</w:t>
      </w:r>
      <w:r w:rsidRPr="0072285F">
        <w:rPr>
          <w:rFonts w:asciiTheme="minorHAnsi" w:hAnsiTheme="minorHAnsi" w:cs="Times New Roman"/>
          <w:sz w:val="18"/>
          <w:szCs w:val="18"/>
        </w:rPr>
        <w:t>, 2015.</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77113" w:rsidRDefault="008756E6" w:rsidP="00404E5B">
      <w:pPr>
        <w:spacing w:before="92"/>
        <w:ind w:right="4234"/>
        <w:rPr>
          <w:rFonts w:ascii="Arial"/>
          <w:color w:val="BF5A14"/>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077113" w:rsidRDefault="00077113"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077113" w:rsidRPr="0072285F" w:rsidRDefault="00077113" w:rsidP="00077113">
      <w:pPr>
        <w:jc w:val="both"/>
        <w:rPr>
          <w:rFonts w:asciiTheme="minorBidi" w:hAnsiTheme="minorBidi" w:cstheme="minorBidi"/>
          <w:sz w:val="14"/>
          <w:szCs w:val="14"/>
          <w:rtl/>
          <w:lang w:bidi="ar-EG"/>
        </w:rPr>
      </w:pPr>
      <w:r w:rsidRPr="0072285F">
        <w:rPr>
          <w:rFonts w:asciiTheme="minorBidi" w:hAnsiTheme="minorBidi" w:cstheme="minorBidi"/>
          <w:sz w:val="14"/>
          <w:szCs w:val="14"/>
          <w:lang w:bidi="ar-EG"/>
        </w:rPr>
        <w:t xml:space="preserve">Walaa </w:t>
      </w:r>
      <w:proofErr w:type="spellStart"/>
      <w:r w:rsidRPr="0072285F">
        <w:rPr>
          <w:rFonts w:asciiTheme="minorBidi" w:hAnsiTheme="minorBidi" w:cstheme="minorBidi"/>
          <w:sz w:val="14"/>
          <w:szCs w:val="14"/>
          <w:lang w:bidi="ar-EG"/>
        </w:rPr>
        <w:t>fikry</w:t>
      </w:r>
      <w:proofErr w:type="spellEnd"/>
      <w:r w:rsidRPr="0072285F">
        <w:rPr>
          <w:rFonts w:asciiTheme="minorBidi" w:hAnsiTheme="minorBidi" w:cstheme="minorBidi"/>
          <w:sz w:val="14"/>
          <w:szCs w:val="14"/>
          <w:lang w:bidi="ar-EG"/>
        </w:rPr>
        <w:t xml:space="preserve"> Elbossaty is research fellow, Department of chemistry, faculty of science-Damietta; Egypt. She received BSc (chemistry/biochemistry), MSc in biochemistry from Mansoura University and PhD in biochemistry from Damietta University .Her research interests and focused on gastrointestinal tract and immune system.</w:t>
      </w:r>
    </w:p>
    <w:p w:rsidR="00077113" w:rsidRDefault="00077113" w:rsidP="00077113">
      <w:pPr>
        <w:spacing w:before="41" w:line="154" w:lineRule="exact"/>
        <w:ind w:left="213" w:right="231"/>
        <w:jc w:val="both"/>
        <w:rPr>
          <w:rFonts w:ascii="Arial"/>
          <w:sz w:val="14"/>
        </w:rPr>
      </w:pPr>
      <w:r>
        <w:rPr>
          <w:rFonts w:ascii="Arial"/>
          <w:sz w:val="14"/>
        </w:rPr>
        <w:t>.</w:t>
      </w:r>
    </w:p>
    <w:p w:rsidR="00AE3E37" w:rsidRDefault="00077113" w:rsidP="00077113">
      <w:pPr>
        <w:pStyle w:val="BodyText"/>
        <w:spacing w:before="2"/>
        <w:jc w:val="center"/>
        <w:rPr>
          <w:rFonts w:ascii="Arial"/>
          <w:sz w:val="19"/>
        </w:rPr>
      </w:pPr>
      <w:r>
        <w:rPr>
          <w:rFonts w:ascii="Arial"/>
          <w:sz w:val="14"/>
        </w:rPr>
        <w:t xml:space="preserve">Email: </w:t>
      </w:r>
      <w:hyperlink r:id="rId12" w:history="1">
        <w:r w:rsidRPr="00D42B73">
          <w:rPr>
            <w:rStyle w:val="Hyperlink"/>
            <w:rFonts w:ascii="Arial"/>
            <w:sz w:val="14"/>
          </w:rPr>
          <w:t>walaafikry1985@gmail.com</w:t>
        </w:r>
      </w:hyperlink>
      <w:r w:rsidR="00292ED9">
        <w:rPr>
          <w:noProof/>
        </w:rPr>
        <mc:AlternateContent>
          <mc:Choice Requires="wps">
            <w:drawing>
              <wp:anchor distT="0" distB="0" distL="0" distR="0" simplePos="0" relativeHeight="1072" behindDoc="0" locked="0" layoutInCell="1" allowOverlap="1" wp14:anchorId="08D273DC" wp14:editId="0CB379E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769B" w:rsidRDefault="0089769B">
      <w:r>
        <w:separator/>
      </w:r>
    </w:p>
  </w:endnote>
  <w:endnote w:type="continuationSeparator" w:id="0">
    <w:p w:rsidR="0089769B" w:rsidRDefault="00897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769B" w:rsidRDefault="0089769B">
      <w:r>
        <w:separator/>
      </w:r>
    </w:p>
  </w:footnote>
  <w:footnote w:type="continuationSeparator" w:id="0">
    <w:p w:rsidR="0089769B" w:rsidRDefault="008976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7113"/>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9769B"/>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
    <w:name w:val="p"/>
    <w:basedOn w:val="Normal"/>
    <w:rsid w:val="00077113"/>
    <w:pPr>
      <w:widowControl/>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rsid w:val="00077113"/>
    <w:rPr>
      <w:strike w:val="0"/>
      <w:dstrike w:val="0"/>
      <w:color w:val="8B008B"/>
      <w:u w:val="none"/>
      <w:effect w:val="none"/>
    </w:rPr>
  </w:style>
  <w:style w:type="paragraph" w:customStyle="1" w:styleId="Default">
    <w:name w:val="Default"/>
    <w:rsid w:val="00077113"/>
    <w:pPr>
      <w:widowControl/>
      <w:autoSpaceDE w:val="0"/>
      <w:autoSpaceDN w:val="0"/>
      <w:adjustRightInd w:val="0"/>
    </w:pPr>
    <w:rPr>
      <w:rFonts w:ascii="Times" w:eastAsia="Times New Roman" w:hAnsi="Times" w:cs="Times"/>
      <w:color w:val="000000"/>
      <w:sz w:val="24"/>
      <w:szCs w:val="24"/>
    </w:rPr>
  </w:style>
  <w:style w:type="character" w:customStyle="1" w:styleId="A5">
    <w:name w:val="A5"/>
    <w:uiPriority w:val="99"/>
    <w:rsid w:val="00077113"/>
    <w:rPr>
      <w:rFonts w:cs="Times"/>
      <w:b/>
      <w:bCs/>
      <w:color w:val="000000"/>
      <w:sz w:val="36"/>
      <w:szCs w:val="36"/>
    </w:rPr>
  </w:style>
  <w:style w:type="character" w:customStyle="1" w:styleId="A2">
    <w:name w:val="A2"/>
    <w:uiPriority w:val="99"/>
    <w:rsid w:val="00077113"/>
    <w:rPr>
      <w:rFonts w:cs="Times"/>
      <w:color w:val="000000"/>
      <w:sz w:val="20"/>
      <w:szCs w:val="20"/>
    </w:rPr>
  </w:style>
  <w:style w:type="character" w:customStyle="1" w:styleId="A3">
    <w:name w:val="A3"/>
    <w:uiPriority w:val="99"/>
    <w:rsid w:val="00077113"/>
    <w:rPr>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
    <w:name w:val="p"/>
    <w:basedOn w:val="Normal"/>
    <w:rsid w:val="00077113"/>
    <w:pPr>
      <w:widowControl/>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rsid w:val="00077113"/>
    <w:rPr>
      <w:strike w:val="0"/>
      <w:dstrike w:val="0"/>
      <w:color w:val="8B008B"/>
      <w:u w:val="none"/>
      <w:effect w:val="none"/>
    </w:rPr>
  </w:style>
  <w:style w:type="paragraph" w:customStyle="1" w:styleId="Default">
    <w:name w:val="Default"/>
    <w:rsid w:val="00077113"/>
    <w:pPr>
      <w:widowControl/>
      <w:autoSpaceDE w:val="0"/>
      <w:autoSpaceDN w:val="0"/>
      <w:adjustRightInd w:val="0"/>
    </w:pPr>
    <w:rPr>
      <w:rFonts w:ascii="Times" w:eastAsia="Times New Roman" w:hAnsi="Times" w:cs="Times"/>
      <w:color w:val="000000"/>
      <w:sz w:val="24"/>
      <w:szCs w:val="24"/>
    </w:rPr>
  </w:style>
  <w:style w:type="character" w:customStyle="1" w:styleId="A5">
    <w:name w:val="A5"/>
    <w:uiPriority w:val="99"/>
    <w:rsid w:val="00077113"/>
    <w:rPr>
      <w:rFonts w:cs="Times"/>
      <w:b/>
      <w:bCs/>
      <w:color w:val="000000"/>
      <w:sz w:val="36"/>
      <w:szCs w:val="36"/>
    </w:rPr>
  </w:style>
  <w:style w:type="character" w:customStyle="1" w:styleId="A2">
    <w:name w:val="A2"/>
    <w:uiPriority w:val="99"/>
    <w:rsid w:val="00077113"/>
    <w:rPr>
      <w:rFonts w:cs="Times"/>
      <w:color w:val="000000"/>
      <w:sz w:val="20"/>
      <w:szCs w:val="20"/>
    </w:rPr>
  </w:style>
  <w:style w:type="character" w:customStyle="1" w:styleId="A3">
    <w:name w:val="A3"/>
    <w:uiPriority w:val="99"/>
    <w:rsid w:val="00077113"/>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walaafikry1985@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الرحمة</cp:lastModifiedBy>
  <cp:revision>2</cp:revision>
  <dcterms:created xsi:type="dcterms:W3CDTF">2017-10-15T17:18:00Z</dcterms:created>
  <dcterms:modified xsi:type="dcterms:W3CDTF">2017-10-15T17:18:00Z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