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2C8" w:rsidRDefault="00C872C8" w:rsidP="00C872C8">
      <w:pPr>
        <w:pStyle w:val="a3"/>
        <w:spacing w:before="73" w:line="360" w:lineRule="auto"/>
        <w:ind w:left="100" w:right="342"/>
        <w:jc w:val="center"/>
        <w:rPr>
          <w:rFonts w:asciiTheme="majorBidi" w:eastAsia="Times New Roman" w:hAnsiTheme="majorBidi" w:cstheme="majorBidi"/>
          <w:sz w:val="24"/>
          <w:szCs w:val="24"/>
        </w:rPr>
      </w:pPr>
      <w:r w:rsidRPr="00C872C8">
        <w:rPr>
          <w:rFonts w:asciiTheme="majorBidi" w:eastAsia="Times New Roman" w:hAnsiTheme="majorBidi" w:cstheme="majorBidi"/>
          <w:b/>
          <w:bCs/>
          <w:sz w:val="32"/>
          <w:szCs w:val="32"/>
        </w:rPr>
        <w:t>Screening of Serum Anti-</w:t>
      </w:r>
      <w:r w:rsidRPr="00C872C8">
        <w:rPr>
          <w:rFonts w:asciiTheme="majorBidi" w:eastAsia="Times New Roman" w:hAnsiTheme="majorBidi" w:cstheme="majorBidi"/>
          <w:b/>
          <w:bCs/>
          <w:i/>
          <w:iCs/>
          <w:sz w:val="32"/>
          <w:szCs w:val="32"/>
        </w:rPr>
        <w:t xml:space="preserve">Helicobacter pylori 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Antibodies </w:t>
      </w:r>
      <w:r w:rsidRPr="00C872C8">
        <w:rPr>
          <w:rFonts w:asciiTheme="majorBidi" w:eastAsia="Times New Roman" w:hAnsiTheme="majorBidi" w:cstheme="majorBidi"/>
          <w:b/>
          <w:bCs/>
          <w:sz w:val="32"/>
          <w:szCs w:val="32"/>
        </w:rPr>
        <w:t>in Patients with P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eptic Complaints Using Indirect </w:t>
      </w:r>
      <w:r w:rsidRPr="00C872C8">
        <w:rPr>
          <w:rFonts w:asciiTheme="majorBidi" w:eastAsia="Times New Roman" w:hAnsiTheme="majorBidi" w:cstheme="majorBidi"/>
          <w:b/>
          <w:bCs/>
          <w:sz w:val="32"/>
          <w:szCs w:val="32"/>
        </w:rPr>
        <w:t>Immunofluorescence Assay</w:t>
      </w:r>
    </w:p>
    <w:p w:rsidR="000F5B85" w:rsidRPr="00C872C8" w:rsidRDefault="000F5B85" w:rsidP="00C872C8">
      <w:pPr>
        <w:pStyle w:val="a3"/>
        <w:spacing w:before="73"/>
        <w:ind w:left="100" w:right="34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C872C8">
        <w:rPr>
          <w:rFonts w:asciiTheme="majorBidi" w:eastAsia="Times New Roman" w:hAnsiTheme="majorBidi" w:cstheme="majorBidi"/>
          <w:sz w:val="20"/>
          <w:szCs w:val="20"/>
        </w:rPr>
        <w:t xml:space="preserve">Rim Harfouch </w:t>
      </w:r>
      <w:proofErr w:type="spellStart"/>
      <w:r w:rsidRPr="00C872C8">
        <w:rPr>
          <w:rFonts w:asciiTheme="majorBidi" w:eastAsia="Times New Roman" w:hAnsiTheme="majorBidi" w:cstheme="majorBidi"/>
          <w:sz w:val="20"/>
          <w:szCs w:val="20"/>
        </w:rPr>
        <w:t>Ms.C</w:t>
      </w:r>
      <w:proofErr w:type="spellEnd"/>
      <w:r w:rsidR="005973B9" w:rsidRPr="00C872C8">
        <w:rPr>
          <w:rFonts w:ascii="Arial"/>
          <w:sz w:val="14"/>
          <w:szCs w:val="14"/>
        </w:rPr>
        <w:t xml:space="preserve">, </w:t>
      </w:r>
      <w:r w:rsidRPr="00C872C8">
        <w:rPr>
          <w:rFonts w:asciiTheme="majorBidi" w:eastAsia="Times New Roman" w:hAnsiTheme="majorBidi" w:cstheme="majorBidi"/>
          <w:sz w:val="20"/>
          <w:szCs w:val="20"/>
        </w:rPr>
        <w:t>Faculty of Pharmacy, Al Andalus University, Syria</w:t>
      </w:r>
    </w:p>
    <w:p w:rsidR="00AE3E37" w:rsidRPr="00C872C8" w:rsidRDefault="00C872C8" w:rsidP="00C872C8">
      <w:pPr>
        <w:pStyle w:val="a3"/>
        <w:spacing w:before="73"/>
        <w:ind w:left="100" w:right="342"/>
        <w:rPr>
          <w:rFonts w:asciiTheme="majorBidi" w:eastAsia="Times New Roman" w:hAnsiTheme="majorBidi" w:cstheme="majorBidi"/>
          <w:sz w:val="20"/>
          <w:szCs w:val="20"/>
        </w:rPr>
      </w:pPr>
      <w:r w:rsidRPr="00C872C8">
        <w:rPr>
          <w:rFonts w:asciiTheme="majorBidi" w:eastAsia="Times New Roman" w:hAnsiTheme="majorBidi" w:cstheme="majorBidi"/>
          <w:sz w:val="20"/>
          <w:szCs w:val="20"/>
        </w:rPr>
        <w:t xml:space="preserve">Dr. </w:t>
      </w:r>
      <w:proofErr w:type="spellStart"/>
      <w:r w:rsidRPr="00C872C8">
        <w:rPr>
          <w:rFonts w:asciiTheme="majorBidi" w:eastAsia="Times New Roman" w:hAnsiTheme="majorBidi" w:cstheme="majorBidi"/>
          <w:sz w:val="20"/>
          <w:szCs w:val="20"/>
        </w:rPr>
        <w:t>Remal</w:t>
      </w:r>
      <w:proofErr w:type="spellEnd"/>
      <w:r w:rsidRPr="00C872C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proofErr w:type="spellStart"/>
      <w:r w:rsidRPr="00C872C8">
        <w:rPr>
          <w:rFonts w:asciiTheme="majorBidi" w:eastAsia="Times New Roman" w:hAnsiTheme="majorBidi" w:cstheme="majorBidi"/>
          <w:sz w:val="20"/>
          <w:szCs w:val="20"/>
        </w:rPr>
        <w:t>Asaad</w:t>
      </w:r>
      <w:proofErr w:type="spellEnd"/>
      <w:r w:rsidR="005973B9" w:rsidRPr="00C872C8">
        <w:rPr>
          <w:rFonts w:ascii="Arial"/>
          <w:sz w:val="14"/>
          <w:szCs w:val="14"/>
        </w:rPr>
        <w:t xml:space="preserve">, </w:t>
      </w:r>
      <w:r w:rsidR="000F5B85" w:rsidRPr="00C872C8">
        <w:rPr>
          <w:rFonts w:asciiTheme="majorBidi" w:eastAsia="Times New Roman" w:hAnsiTheme="majorBidi" w:cstheme="majorBidi"/>
          <w:sz w:val="20"/>
          <w:szCs w:val="20"/>
        </w:rPr>
        <w:t>Ph.D</w:t>
      </w:r>
      <w:r w:rsidR="00FB510D" w:rsidRPr="00C872C8">
        <w:rPr>
          <w:rFonts w:asciiTheme="majorBidi" w:eastAsia="Times New Roman" w:hAnsiTheme="majorBidi" w:cstheme="majorBidi"/>
          <w:sz w:val="20"/>
          <w:szCs w:val="20"/>
        </w:rPr>
        <w:t>.</w:t>
      </w:r>
      <w:r w:rsidR="005973B9" w:rsidRPr="00C872C8">
        <w:rPr>
          <w:rFonts w:ascii="Arial"/>
          <w:sz w:val="14"/>
          <w:szCs w:val="14"/>
        </w:rPr>
        <w:t xml:space="preserve"> </w:t>
      </w:r>
      <w:r w:rsidR="000F5B85" w:rsidRPr="00C872C8">
        <w:rPr>
          <w:rFonts w:asciiTheme="majorBidi" w:eastAsia="Times New Roman" w:hAnsiTheme="majorBidi" w:cstheme="majorBidi"/>
          <w:sz w:val="20"/>
          <w:szCs w:val="20"/>
        </w:rPr>
        <w:t>Faculty of Pharmac</w:t>
      </w:r>
      <w:r w:rsidR="00D5055D" w:rsidRPr="00C872C8">
        <w:rPr>
          <w:rFonts w:asciiTheme="majorBidi" w:eastAsia="Times New Roman" w:hAnsiTheme="majorBidi" w:cstheme="majorBidi"/>
          <w:sz w:val="20"/>
          <w:szCs w:val="20"/>
        </w:rPr>
        <w:t xml:space="preserve">y, </w:t>
      </w:r>
      <w:proofErr w:type="spellStart"/>
      <w:r w:rsidRPr="00C872C8">
        <w:rPr>
          <w:rFonts w:asciiTheme="majorBidi" w:eastAsia="Times New Roman" w:hAnsiTheme="majorBidi" w:cstheme="majorBidi"/>
          <w:sz w:val="20"/>
          <w:szCs w:val="20"/>
        </w:rPr>
        <w:t>Tishreen</w:t>
      </w:r>
      <w:proofErr w:type="spellEnd"/>
      <w:r w:rsidR="00D5055D" w:rsidRPr="00C872C8">
        <w:rPr>
          <w:rFonts w:asciiTheme="majorBidi" w:eastAsia="Times New Roman" w:hAnsiTheme="majorBidi" w:cstheme="majorBidi"/>
          <w:sz w:val="20"/>
          <w:szCs w:val="20"/>
        </w:rPr>
        <w:t xml:space="preserve"> University, Syria</w:t>
      </w:r>
    </w:p>
    <w:p w:rsidR="00C872C8" w:rsidRPr="00C872C8" w:rsidRDefault="00C872C8" w:rsidP="00C872C8">
      <w:pPr>
        <w:pStyle w:val="a3"/>
        <w:spacing w:before="73"/>
        <w:ind w:left="100" w:right="342"/>
        <w:rPr>
          <w:rFonts w:asciiTheme="majorBidi" w:eastAsia="Times New Roman" w:hAnsiTheme="majorBidi" w:cstheme="majorBidi"/>
          <w:sz w:val="20"/>
          <w:szCs w:val="20"/>
        </w:rPr>
      </w:pPr>
      <w:r w:rsidRPr="00C872C8">
        <w:rPr>
          <w:rFonts w:asciiTheme="majorBidi" w:eastAsia="Times New Roman" w:hAnsiTheme="majorBidi" w:cstheme="majorBidi"/>
          <w:sz w:val="20"/>
          <w:szCs w:val="20"/>
        </w:rPr>
        <w:t>Dr. Hassan Hussein, Ph.D.</w:t>
      </w:r>
      <w:r w:rsidRPr="00C872C8">
        <w:rPr>
          <w:rFonts w:ascii="Arial"/>
          <w:sz w:val="14"/>
          <w:szCs w:val="14"/>
        </w:rPr>
        <w:t xml:space="preserve"> </w:t>
      </w:r>
      <w:r w:rsidRPr="00C872C8">
        <w:rPr>
          <w:rFonts w:asciiTheme="majorBidi" w:eastAsia="Times New Roman" w:hAnsiTheme="majorBidi" w:cstheme="majorBidi"/>
          <w:sz w:val="20"/>
          <w:szCs w:val="20"/>
        </w:rPr>
        <w:t xml:space="preserve">Faculty of Medicine, </w:t>
      </w:r>
      <w:proofErr w:type="spellStart"/>
      <w:r w:rsidRPr="00C872C8">
        <w:rPr>
          <w:rFonts w:asciiTheme="majorBidi" w:eastAsia="Times New Roman" w:hAnsiTheme="majorBidi" w:cstheme="majorBidi"/>
          <w:sz w:val="20"/>
          <w:szCs w:val="20"/>
        </w:rPr>
        <w:t>Tishreen</w:t>
      </w:r>
      <w:proofErr w:type="spellEnd"/>
      <w:r w:rsidRPr="00C872C8">
        <w:rPr>
          <w:rFonts w:asciiTheme="majorBidi" w:eastAsia="Times New Roman" w:hAnsiTheme="majorBidi" w:cstheme="majorBidi"/>
          <w:sz w:val="20"/>
          <w:szCs w:val="20"/>
        </w:rPr>
        <w:t xml:space="preserve"> University, Syria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390A4E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3A411C" w:rsidRPr="003A411C" w:rsidRDefault="003A411C" w:rsidP="003A411C">
      <w:pPr>
        <w:pStyle w:val="a3"/>
        <w:spacing w:before="90" w:line="280" w:lineRule="auto"/>
        <w:ind w:left="100"/>
        <w:jc w:val="both"/>
        <w:rPr>
          <w:sz w:val="20"/>
          <w:szCs w:val="20"/>
          <w:lang w:val="en"/>
        </w:rPr>
      </w:pPr>
      <w:r w:rsidRPr="003A411C">
        <w:rPr>
          <w:sz w:val="20"/>
          <w:szCs w:val="20"/>
          <w:lang w:val="en"/>
        </w:rPr>
        <w:t xml:space="preserve">The study aims to determine the </w:t>
      </w:r>
      <w:proofErr w:type="spellStart"/>
      <w:r w:rsidRPr="003A411C">
        <w:rPr>
          <w:sz w:val="20"/>
          <w:szCs w:val="20"/>
          <w:lang w:val="en"/>
        </w:rPr>
        <w:t>Seroprevalence</w:t>
      </w:r>
      <w:proofErr w:type="spellEnd"/>
      <w:r w:rsidRPr="003A411C">
        <w:rPr>
          <w:sz w:val="20"/>
          <w:szCs w:val="20"/>
          <w:lang w:val="en"/>
        </w:rPr>
        <w:t xml:space="preserve"> of anti-H. </w:t>
      </w:r>
      <w:proofErr w:type="gramStart"/>
      <w:r w:rsidRPr="003A411C">
        <w:rPr>
          <w:sz w:val="20"/>
          <w:szCs w:val="20"/>
          <w:lang w:val="en"/>
        </w:rPr>
        <w:t>pylori</w:t>
      </w:r>
      <w:proofErr w:type="gramEnd"/>
      <w:r w:rsidRPr="003A411C">
        <w:rPr>
          <w:sz w:val="20"/>
          <w:szCs w:val="20"/>
          <w:lang w:val="en"/>
        </w:rPr>
        <w:t xml:space="preserve"> antibodies in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patients with peptic complaints using indirect immunofluorescence assay (IFA), and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compare serology with histological examination of biopsies from upper gastrointestinal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endoscopy to evaluate the sensitivity and specificity of this assay.</w:t>
      </w:r>
    </w:p>
    <w:p w:rsidR="003A411C" w:rsidRPr="003A411C" w:rsidRDefault="003A411C" w:rsidP="000F3254">
      <w:pPr>
        <w:pStyle w:val="a3"/>
        <w:spacing w:before="90" w:line="280" w:lineRule="auto"/>
        <w:ind w:left="100"/>
        <w:jc w:val="both"/>
        <w:rPr>
          <w:sz w:val="20"/>
          <w:szCs w:val="20"/>
          <w:lang w:val="en"/>
        </w:rPr>
      </w:pPr>
      <w:r w:rsidRPr="003A411C">
        <w:rPr>
          <w:sz w:val="20"/>
          <w:szCs w:val="20"/>
          <w:lang w:val="en"/>
        </w:rPr>
        <w:t>The Study sample included 120 participants divided into two groups: 69 patients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with peptic complaints who underwent upper GI endoscopy in Al-Assad Hospital in</w:t>
      </w:r>
      <w:r>
        <w:rPr>
          <w:sz w:val="20"/>
          <w:szCs w:val="20"/>
          <w:lang w:val="en"/>
        </w:rPr>
        <w:t xml:space="preserve"> Latakia, Syria </w:t>
      </w:r>
      <w:r w:rsidRPr="003A411C">
        <w:rPr>
          <w:sz w:val="20"/>
          <w:szCs w:val="20"/>
          <w:lang w:val="en"/>
        </w:rPr>
        <w:t>(average age 47 years old), and 51 volunteers without peptic complaints (average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age 33 years old). The study was conducted in the period between February 201</w:t>
      </w:r>
      <w:r w:rsidR="000F3254">
        <w:rPr>
          <w:sz w:val="20"/>
          <w:szCs w:val="20"/>
          <w:lang w:val="en"/>
        </w:rPr>
        <w:t>6</w:t>
      </w:r>
      <w:r w:rsidRPr="003A411C">
        <w:rPr>
          <w:sz w:val="20"/>
          <w:szCs w:val="20"/>
          <w:lang w:val="en"/>
        </w:rPr>
        <w:t xml:space="preserve"> and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March 201</w:t>
      </w:r>
      <w:r w:rsidR="000F3254">
        <w:rPr>
          <w:sz w:val="20"/>
          <w:szCs w:val="20"/>
          <w:lang w:val="en"/>
        </w:rPr>
        <w:t>7</w:t>
      </w:r>
      <w:r w:rsidRPr="003A411C">
        <w:rPr>
          <w:sz w:val="20"/>
          <w:szCs w:val="20"/>
          <w:lang w:val="en"/>
        </w:rPr>
        <w:t>. Indirect immunofluorescence assay (IFA) was used to study the</w:t>
      </w:r>
      <w:r>
        <w:rPr>
          <w:sz w:val="20"/>
          <w:szCs w:val="20"/>
          <w:lang w:val="en"/>
        </w:rPr>
        <w:t xml:space="preserve"> </w:t>
      </w:r>
      <w:proofErr w:type="spellStart"/>
      <w:r w:rsidRPr="003A411C">
        <w:rPr>
          <w:sz w:val="20"/>
          <w:szCs w:val="20"/>
          <w:lang w:val="en"/>
        </w:rPr>
        <w:t>seroprevalence</w:t>
      </w:r>
      <w:proofErr w:type="spellEnd"/>
      <w:r w:rsidRPr="003A411C">
        <w:rPr>
          <w:sz w:val="20"/>
          <w:szCs w:val="20"/>
          <w:lang w:val="en"/>
        </w:rPr>
        <w:t xml:space="preserve"> of anti-H. </w:t>
      </w:r>
      <w:proofErr w:type="gramStart"/>
      <w:r w:rsidRPr="003A411C">
        <w:rPr>
          <w:sz w:val="20"/>
          <w:szCs w:val="20"/>
          <w:lang w:val="en"/>
        </w:rPr>
        <w:t>pylori</w:t>
      </w:r>
      <w:proofErr w:type="gramEnd"/>
      <w:r w:rsidRPr="003A411C">
        <w:rPr>
          <w:sz w:val="20"/>
          <w:szCs w:val="20"/>
          <w:lang w:val="en"/>
        </w:rPr>
        <w:t xml:space="preserve"> antibodies and fluorescence intensity in the two groups.</w:t>
      </w:r>
    </w:p>
    <w:p w:rsidR="00AE3E37" w:rsidRPr="003A411C" w:rsidRDefault="003A411C" w:rsidP="00C872C8">
      <w:pPr>
        <w:pStyle w:val="a3"/>
        <w:spacing w:before="90" w:line="280" w:lineRule="auto"/>
        <w:ind w:left="100"/>
        <w:jc w:val="both"/>
        <w:rPr>
          <w:sz w:val="20"/>
          <w:szCs w:val="20"/>
          <w:lang w:val="en"/>
        </w:rPr>
      </w:pPr>
      <w:r w:rsidRPr="003A411C">
        <w:rPr>
          <w:sz w:val="20"/>
          <w:szCs w:val="20"/>
          <w:lang w:val="en"/>
        </w:rPr>
        <w:t>The results showed that 63 of the patients group (91.3%) and 39 of volunteers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(76.47%) are H. pylori antibodies positive. The comparison of serology with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histological examination of biopsies showed a sensitivity and specificity of 78% and 80%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respectively in the presence of moderate and strong degree of fluorescence. The results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reveal the importance of IFA as a non-invasive screening test besides the endoscopy, and</w:t>
      </w:r>
      <w:r>
        <w:rPr>
          <w:sz w:val="20"/>
          <w:szCs w:val="20"/>
          <w:lang w:val="en"/>
        </w:rPr>
        <w:t xml:space="preserve"> </w:t>
      </w:r>
      <w:r w:rsidRPr="003A411C">
        <w:rPr>
          <w:sz w:val="20"/>
          <w:szCs w:val="20"/>
          <w:lang w:val="en"/>
        </w:rPr>
        <w:t>the utility of this technique for the epidemiologic studies in a local setting.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365A51" w:rsidRDefault="00365A51">
      <w:pPr>
        <w:pStyle w:val="3"/>
        <w:spacing w:before="74"/>
      </w:pPr>
      <w:r>
        <w:rPr>
          <w:noProof/>
        </w:rPr>
        <w:drawing>
          <wp:inline distT="0" distB="0" distL="0" distR="0" wp14:anchorId="12747F0F" wp14:editId="1A3B0F2F">
            <wp:extent cx="3165475" cy="1541875"/>
            <wp:effectExtent l="0" t="0" r="15875" b="20320"/>
            <wp:docPr id="4" name="مخطط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C872C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</w:t>
      </w:r>
      <w:r w:rsidR="00C872C8">
        <w:rPr>
          <w:rFonts w:ascii="Arial"/>
          <w:b/>
          <w:color w:val="BF5A14"/>
          <w:sz w:val="20"/>
        </w:rPr>
        <w:t>cent Publications</w:t>
      </w:r>
    </w:p>
    <w:p w:rsidR="003A411C" w:rsidRDefault="003A411C" w:rsidP="003A411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3A411C">
        <w:rPr>
          <w:sz w:val="18"/>
        </w:rPr>
        <w:t>Attallah</w:t>
      </w:r>
      <w:proofErr w:type="spellEnd"/>
      <w:r w:rsidRPr="003A411C">
        <w:rPr>
          <w:sz w:val="18"/>
        </w:rPr>
        <w:t xml:space="preserve"> </w:t>
      </w:r>
      <w:proofErr w:type="gramStart"/>
      <w:r w:rsidRPr="003A411C">
        <w:rPr>
          <w:sz w:val="18"/>
        </w:rPr>
        <w:t>AM,</w:t>
      </w:r>
      <w:proofErr w:type="gramEnd"/>
      <w:r w:rsidRPr="003A411C">
        <w:rPr>
          <w:sz w:val="18"/>
        </w:rPr>
        <w:t xml:space="preserve"> Ismail H, Ibrahim GG, Abdel-</w:t>
      </w:r>
      <w:proofErr w:type="spellStart"/>
      <w:r w:rsidRPr="003A411C">
        <w:rPr>
          <w:sz w:val="18"/>
        </w:rPr>
        <w:t>Raouf</w:t>
      </w:r>
      <w:proofErr w:type="spellEnd"/>
      <w:r w:rsidRPr="003A411C">
        <w:rPr>
          <w:sz w:val="18"/>
        </w:rPr>
        <w:t xml:space="preserve"> M, El-</w:t>
      </w:r>
      <w:proofErr w:type="spellStart"/>
      <w:r w:rsidRPr="003A411C">
        <w:rPr>
          <w:sz w:val="18"/>
        </w:rPr>
        <w:t>Waseef</w:t>
      </w:r>
      <w:proofErr w:type="spellEnd"/>
      <w:r w:rsidRPr="003A411C">
        <w:rPr>
          <w:sz w:val="18"/>
        </w:rPr>
        <w:t xml:space="preserve"> AM, Abdel-</w:t>
      </w:r>
      <w:proofErr w:type="spellStart"/>
      <w:r w:rsidRPr="003A411C">
        <w:rPr>
          <w:sz w:val="18"/>
        </w:rPr>
        <w:t>Wahab</w:t>
      </w:r>
      <w:proofErr w:type="spellEnd"/>
      <w:r>
        <w:rPr>
          <w:sz w:val="18"/>
        </w:rPr>
        <w:t xml:space="preserve"> </w:t>
      </w:r>
      <w:r w:rsidRPr="003A411C">
        <w:rPr>
          <w:sz w:val="18"/>
        </w:rPr>
        <w:t>M. Use of a novel enzyme immunoassay based detection of circulating antigen in</w:t>
      </w:r>
      <w:r>
        <w:rPr>
          <w:sz w:val="18"/>
        </w:rPr>
        <w:t xml:space="preserve"> </w:t>
      </w:r>
      <w:r w:rsidRPr="003A411C">
        <w:rPr>
          <w:sz w:val="18"/>
        </w:rPr>
        <w:t xml:space="preserve">serum for diagnosis of Helicobacter pylori infection. </w:t>
      </w:r>
      <w:proofErr w:type="spellStart"/>
      <w:r w:rsidRPr="003A411C">
        <w:rPr>
          <w:sz w:val="18"/>
        </w:rPr>
        <w:t>Clin</w:t>
      </w:r>
      <w:proofErr w:type="spellEnd"/>
      <w:r w:rsidRPr="003A411C">
        <w:rPr>
          <w:sz w:val="18"/>
        </w:rPr>
        <w:t xml:space="preserve"> </w:t>
      </w:r>
      <w:proofErr w:type="spellStart"/>
      <w:r w:rsidRPr="003A411C">
        <w:rPr>
          <w:sz w:val="18"/>
        </w:rPr>
        <w:t>Diagn</w:t>
      </w:r>
      <w:proofErr w:type="spellEnd"/>
      <w:r w:rsidRPr="003A411C">
        <w:rPr>
          <w:sz w:val="18"/>
        </w:rPr>
        <w:t xml:space="preserve"> Lab </w:t>
      </w:r>
      <w:proofErr w:type="spellStart"/>
      <w:r w:rsidRPr="003A411C">
        <w:rPr>
          <w:sz w:val="18"/>
        </w:rPr>
        <w:t>Immunol</w:t>
      </w:r>
      <w:proofErr w:type="spellEnd"/>
      <w:r>
        <w:rPr>
          <w:sz w:val="18"/>
        </w:rPr>
        <w:t xml:space="preserve"> </w:t>
      </w:r>
      <w:r w:rsidRPr="003A411C">
        <w:rPr>
          <w:sz w:val="18"/>
        </w:rPr>
        <w:t>2004</w:t>
      </w:r>
      <w:proofErr w:type="gramStart"/>
      <w:r w:rsidRPr="003A411C">
        <w:rPr>
          <w:sz w:val="18"/>
        </w:rPr>
        <w:t>;July:775</w:t>
      </w:r>
      <w:proofErr w:type="gramEnd"/>
      <w:r w:rsidRPr="003A411C">
        <w:rPr>
          <w:sz w:val="18"/>
        </w:rPr>
        <w:t>-9.</w:t>
      </w:r>
    </w:p>
    <w:p w:rsidR="00C34DF2" w:rsidRDefault="003A411C" w:rsidP="00C34DF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3A411C">
        <w:rPr>
          <w:sz w:val="18"/>
        </w:rPr>
        <w:t>Bauer B, Meyer T F. The Human Gastric Pathogen Helicobacter pylori and Its</w:t>
      </w:r>
      <w:r>
        <w:rPr>
          <w:sz w:val="18"/>
        </w:rPr>
        <w:t xml:space="preserve"> </w:t>
      </w:r>
      <w:r w:rsidRPr="003A411C">
        <w:rPr>
          <w:sz w:val="18"/>
        </w:rPr>
        <w:t>Association with Gastric Cancer and Ulcer Disease. Ulcers 2011; Vol.2011:1-23.</w:t>
      </w:r>
    </w:p>
    <w:p w:rsidR="00AE3E37" w:rsidRDefault="00C34DF2" w:rsidP="00C34DF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C34DF2">
        <w:rPr>
          <w:sz w:val="18"/>
        </w:rPr>
        <w:t>Hirschl</w:t>
      </w:r>
      <w:proofErr w:type="spellEnd"/>
      <w:r w:rsidRPr="00C34DF2">
        <w:rPr>
          <w:sz w:val="18"/>
        </w:rPr>
        <w:t xml:space="preserve"> AM, </w:t>
      </w:r>
      <w:proofErr w:type="spellStart"/>
      <w:r w:rsidRPr="00C34DF2">
        <w:rPr>
          <w:sz w:val="18"/>
        </w:rPr>
        <w:t>Makristathis</w:t>
      </w:r>
      <w:proofErr w:type="spellEnd"/>
      <w:r w:rsidRPr="00C34DF2">
        <w:rPr>
          <w:sz w:val="18"/>
        </w:rPr>
        <w:t xml:space="preserve"> A. Methods to detect Helicobacter pylori: from culture to</w:t>
      </w:r>
      <w:r>
        <w:rPr>
          <w:sz w:val="18"/>
        </w:rPr>
        <w:t xml:space="preserve"> </w:t>
      </w:r>
      <w:r w:rsidRPr="00C34DF2">
        <w:rPr>
          <w:sz w:val="18"/>
        </w:rPr>
        <w:t>molecular biology. Helicobacter 2007; 12(</w:t>
      </w:r>
      <w:proofErr w:type="spellStart"/>
      <w:r w:rsidRPr="00C34DF2">
        <w:rPr>
          <w:sz w:val="18"/>
        </w:rPr>
        <w:t>Suppl</w:t>
      </w:r>
      <w:proofErr w:type="spellEnd"/>
      <w:r w:rsidRPr="00C34DF2">
        <w:rPr>
          <w:sz w:val="18"/>
        </w:rPr>
        <w:t xml:space="preserve"> 2):6–11.</w:t>
      </w:r>
      <w:r w:rsidR="00390A4E" w:rsidRPr="00C34DF2">
        <w:rPr>
          <w:sz w:val="18"/>
        </w:rPr>
        <w:t xml:space="preserve"> </w:t>
      </w:r>
    </w:p>
    <w:p w:rsidR="00C34DF2" w:rsidRDefault="00C34DF2" w:rsidP="00C34DF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C34DF2">
        <w:rPr>
          <w:sz w:val="18"/>
        </w:rPr>
        <w:t xml:space="preserve">Rocha GA, </w:t>
      </w:r>
      <w:proofErr w:type="spellStart"/>
      <w:r w:rsidRPr="00C34DF2">
        <w:rPr>
          <w:sz w:val="18"/>
        </w:rPr>
        <w:t>Queiroz</w:t>
      </w:r>
      <w:proofErr w:type="spellEnd"/>
      <w:r w:rsidRPr="00C34DF2">
        <w:rPr>
          <w:sz w:val="18"/>
        </w:rPr>
        <w:t xml:space="preserve"> DM, Mendes EN, Oliveira AM, Moura SB, Barbosa MT, Mendes</w:t>
      </w:r>
      <w:r>
        <w:rPr>
          <w:sz w:val="18"/>
        </w:rPr>
        <w:t xml:space="preserve"> </w:t>
      </w:r>
      <w:r w:rsidRPr="00C34DF2">
        <w:rPr>
          <w:sz w:val="18"/>
        </w:rPr>
        <w:t xml:space="preserve">CC, Lima </w:t>
      </w:r>
      <w:proofErr w:type="spellStart"/>
      <w:r w:rsidRPr="00C34DF2">
        <w:rPr>
          <w:sz w:val="18"/>
        </w:rPr>
        <w:t>Júnior</w:t>
      </w:r>
      <w:proofErr w:type="spellEnd"/>
      <w:r w:rsidRPr="00C34DF2">
        <w:rPr>
          <w:sz w:val="18"/>
        </w:rPr>
        <w:t xml:space="preserve"> GF, Oliveira CA. Indirect immunofluorescence determination of the</w:t>
      </w:r>
      <w:r>
        <w:rPr>
          <w:sz w:val="18"/>
        </w:rPr>
        <w:t xml:space="preserve"> </w:t>
      </w:r>
      <w:r w:rsidRPr="00C34DF2">
        <w:rPr>
          <w:sz w:val="18"/>
        </w:rPr>
        <w:t xml:space="preserve">frequency of anti-H. </w:t>
      </w:r>
      <w:proofErr w:type="gramStart"/>
      <w:r w:rsidRPr="00C34DF2">
        <w:rPr>
          <w:sz w:val="18"/>
        </w:rPr>
        <w:t>pylori</w:t>
      </w:r>
      <w:proofErr w:type="gramEnd"/>
      <w:r w:rsidRPr="00C34DF2">
        <w:rPr>
          <w:sz w:val="18"/>
        </w:rPr>
        <w:t xml:space="preserve"> antibodies in Brazilian blood donors. </w:t>
      </w:r>
      <w:proofErr w:type="spellStart"/>
      <w:r w:rsidRPr="00C34DF2">
        <w:rPr>
          <w:sz w:val="18"/>
        </w:rPr>
        <w:t>Braz</w:t>
      </w:r>
      <w:proofErr w:type="spellEnd"/>
      <w:r w:rsidRPr="00C34DF2">
        <w:rPr>
          <w:sz w:val="18"/>
        </w:rPr>
        <w:t xml:space="preserve"> J Med </w:t>
      </w:r>
      <w:proofErr w:type="spellStart"/>
      <w:r w:rsidRPr="00C34DF2">
        <w:rPr>
          <w:sz w:val="18"/>
        </w:rPr>
        <w:t>Biol</w:t>
      </w:r>
      <w:proofErr w:type="spellEnd"/>
      <w:r>
        <w:rPr>
          <w:sz w:val="18"/>
        </w:rPr>
        <w:t xml:space="preserve"> </w:t>
      </w:r>
      <w:r w:rsidRPr="00C34DF2">
        <w:rPr>
          <w:sz w:val="18"/>
        </w:rPr>
        <w:t>Res. 1992</w:t>
      </w:r>
      <w:proofErr w:type="gramStart"/>
      <w:r w:rsidRPr="00C34DF2">
        <w:rPr>
          <w:sz w:val="18"/>
        </w:rPr>
        <w:t>;25</w:t>
      </w:r>
      <w:proofErr w:type="gramEnd"/>
      <w:r w:rsidRPr="00C34DF2">
        <w:rPr>
          <w:sz w:val="18"/>
        </w:rPr>
        <w:t>(7):683-9.</w:t>
      </w:r>
    </w:p>
    <w:p w:rsidR="00C34DF2" w:rsidRPr="00C34DF2" w:rsidRDefault="00315860" w:rsidP="00C34DF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7A30446" wp14:editId="53E7BCF5">
            <wp:simplePos x="0" y="0"/>
            <wp:positionH relativeFrom="margin">
              <wp:posOffset>126365</wp:posOffset>
            </wp:positionH>
            <wp:positionV relativeFrom="margin">
              <wp:posOffset>6315075</wp:posOffset>
            </wp:positionV>
            <wp:extent cx="1014730" cy="1083310"/>
            <wp:effectExtent l="0" t="0" r="0" b="2540"/>
            <wp:wrapSquare wrapText="bothSides"/>
            <wp:docPr id="2" name="صورة 2" descr="C:\Users\al alaa center\Desktop\14650214_1805089969775323_265294154528929164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 alaa center\Desktop\14650214_1805089969775323_2652941545289291644_n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2" r="14062" b="29444"/>
                    <a:stretch/>
                  </pic:blipFill>
                  <pic:spPr bwMode="auto">
                    <a:xfrm>
                      <a:off x="0" y="0"/>
                      <a:ext cx="1014730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34DF2" w:rsidRPr="00C34DF2">
        <w:rPr>
          <w:sz w:val="18"/>
        </w:rPr>
        <w:t>Salomaa-Rasanen</w:t>
      </w:r>
      <w:proofErr w:type="spellEnd"/>
      <w:r w:rsidR="00C34DF2" w:rsidRPr="00C34DF2">
        <w:rPr>
          <w:sz w:val="18"/>
        </w:rPr>
        <w:t xml:space="preserve"> A, </w:t>
      </w:r>
      <w:proofErr w:type="spellStart"/>
      <w:r w:rsidR="00C34DF2" w:rsidRPr="00C34DF2">
        <w:rPr>
          <w:sz w:val="18"/>
        </w:rPr>
        <w:t>Kosunen</w:t>
      </w:r>
      <w:proofErr w:type="spellEnd"/>
      <w:r w:rsidR="00C34DF2" w:rsidRPr="00C34DF2">
        <w:rPr>
          <w:sz w:val="18"/>
        </w:rPr>
        <w:t xml:space="preserve"> TU, </w:t>
      </w:r>
      <w:proofErr w:type="spellStart"/>
      <w:r w:rsidR="00C34DF2" w:rsidRPr="00C34DF2">
        <w:rPr>
          <w:sz w:val="18"/>
        </w:rPr>
        <w:t>Mattila</w:t>
      </w:r>
      <w:proofErr w:type="spellEnd"/>
      <w:r w:rsidR="00C34DF2" w:rsidRPr="00C34DF2">
        <w:rPr>
          <w:sz w:val="18"/>
        </w:rPr>
        <w:t xml:space="preserve"> J, </w:t>
      </w:r>
      <w:proofErr w:type="spellStart"/>
      <w:r w:rsidR="00C34DF2" w:rsidRPr="00C34DF2">
        <w:rPr>
          <w:sz w:val="18"/>
        </w:rPr>
        <w:t>Sarna</w:t>
      </w:r>
      <w:proofErr w:type="spellEnd"/>
      <w:r w:rsidR="00C34DF2" w:rsidRPr="00C34DF2">
        <w:rPr>
          <w:sz w:val="18"/>
        </w:rPr>
        <w:t xml:space="preserve"> S, </w:t>
      </w:r>
      <w:proofErr w:type="spellStart"/>
      <w:r w:rsidR="00C34DF2" w:rsidRPr="00C34DF2">
        <w:rPr>
          <w:sz w:val="18"/>
        </w:rPr>
        <w:t>Rautelin</w:t>
      </w:r>
      <w:proofErr w:type="spellEnd"/>
      <w:r w:rsidR="00C34DF2" w:rsidRPr="00C34DF2">
        <w:rPr>
          <w:sz w:val="18"/>
        </w:rPr>
        <w:t xml:space="preserve"> H. Age-dependent</w:t>
      </w:r>
      <w:r w:rsidR="00C34DF2">
        <w:rPr>
          <w:sz w:val="18"/>
        </w:rPr>
        <w:t xml:space="preserve"> </w:t>
      </w:r>
      <w:r w:rsidR="00C34DF2" w:rsidRPr="00C34DF2">
        <w:rPr>
          <w:sz w:val="18"/>
        </w:rPr>
        <w:t>accuracy of Helicobacter pylori antibody assays for adults, with special emphasis</w:t>
      </w:r>
      <w:r w:rsidR="00C34DF2">
        <w:rPr>
          <w:sz w:val="18"/>
        </w:rPr>
        <w:t xml:space="preserve"> </w:t>
      </w:r>
      <w:r w:rsidR="00C34DF2" w:rsidRPr="00C34DF2">
        <w:rPr>
          <w:sz w:val="18"/>
        </w:rPr>
        <w:t xml:space="preserve">on atrophic gastritis. </w:t>
      </w:r>
      <w:proofErr w:type="spellStart"/>
      <w:r w:rsidR="00C34DF2" w:rsidRPr="00C34DF2">
        <w:rPr>
          <w:sz w:val="18"/>
        </w:rPr>
        <w:t>Clin</w:t>
      </w:r>
      <w:proofErr w:type="spellEnd"/>
      <w:r w:rsidR="00C34DF2" w:rsidRPr="00C34DF2">
        <w:rPr>
          <w:sz w:val="18"/>
        </w:rPr>
        <w:t xml:space="preserve"> </w:t>
      </w:r>
      <w:proofErr w:type="spellStart"/>
      <w:r w:rsidR="00C34DF2" w:rsidRPr="00C34DF2">
        <w:rPr>
          <w:sz w:val="18"/>
        </w:rPr>
        <w:t>Diagn</w:t>
      </w:r>
      <w:proofErr w:type="spellEnd"/>
      <w:r w:rsidR="00C34DF2" w:rsidRPr="00C34DF2">
        <w:rPr>
          <w:sz w:val="18"/>
        </w:rPr>
        <w:t xml:space="preserve"> Lab </w:t>
      </w:r>
      <w:proofErr w:type="spellStart"/>
      <w:r w:rsidR="00C34DF2" w:rsidRPr="00C34DF2">
        <w:rPr>
          <w:sz w:val="18"/>
        </w:rPr>
        <w:t>Immunol</w:t>
      </w:r>
      <w:proofErr w:type="spellEnd"/>
      <w:r w:rsidR="00C34DF2" w:rsidRPr="00C34DF2">
        <w:rPr>
          <w:sz w:val="18"/>
        </w:rPr>
        <w:t xml:space="preserve"> 2004</w:t>
      </w:r>
      <w:proofErr w:type="gramStart"/>
      <w:r w:rsidR="00C34DF2" w:rsidRPr="00C34DF2">
        <w:rPr>
          <w:sz w:val="18"/>
        </w:rPr>
        <w:t>;11:1185</w:t>
      </w:r>
      <w:proofErr w:type="gramEnd"/>
      <w:r w:rsidR="00C34DF2" w:rsidRPr="00C34DF2">
        <w:rPr>
          <w:sz w:val="18"/>
        </w:rPr>
        <w:t>–8.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83E2199" wp14:editId="329BE08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anchorx="page"/>
                <w10:anchorlock/>
              </v:group>
            </w:pict>
          </mc:Fallback>
        </mc:AlternateContent>
      </w:r>
    </w:p>
    <w:p w:rsidR="00C01B3D" w:rsidRPr="00315860" w:rsidRDefault="003A411C" w:rsidP="00315860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C01B3D" w:rsidRDefault="00C01B3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C01B3D" w:rsidRDefault="00C01B3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C01B3D" w:rsidRDefault="00C01B3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C01B3D" w:rsidP="000F325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Rim Harfouch</w:t>
      </w:r>
      <w:r w:rsidR="00315860">
        <w:rPr>
          <w:rFonts w:ascii="Arial"/>
          <w:sz w:val="14"/>
        </w:rPr>
        <w:t xml:space="preserve"> had</w:t>
      </w:r>
      <w:r w:rsidR="00A9710C">
        <w:rPr>
          <w:rFonts w:ascii="Arial"/>
          <w:sz w:val="14"/>
        </w:rPr>
        <w:t xml:space="preserve"> her </w:t>
      </w:r>
      <w:r w:rsidR="00195EF3">
        <w:rPr>
          <w:rFonts w:ascii="Arial"/>
          <w:sz w:val="14"/>
        </w:rPr>
        <w:t xml:space="preserve">Master Degree MSc. in </w:t>
      </w:r>
      <w:r w:rsidR="00315860" w:rsidRPr="00315860">
        <w:rPr>
          <w:rFonts w:ascii="Arial"/>
          <w:sz w:val="14"/>
        </w:rPr>
        <w:t xml:space="preserve">Microbiology, </w:t>
      </w:r>
      <w:proofErr w:type="spellStart"/>
      <w:r w:rsidR="00315860" w:rsidRPr="00315860">
        <w:rPr>
          <w:rFonts w:ascii="Arial"/>
          <w:sz w:val="14"/>
        </w:rPr>
        <w:t>Haematology</w:t>
      </w:r>
      <w:proofErr w:type="spellEnd"/>
      <w:r w:rsidR="00315860" w:rsidRPr="00315860">
        <w:rPr>
          <w:rFonts w:ascii="Arial"/>
          <w:sz w:val="14"/>
        </w:rPr>
        <w:t xml:space="preserve"> and Immunology</w:t>
      </w:r>
      <w:r w:rsidR="00315860">
        <w:rPr>
          <w:rFonts w:ascii="Arial"/>
          <w:sz w:val="14"/>
        </w:rPr>
        <w:t xml:space="preserve"> at </w:t>
      </w:r>
      <w:proofErr w:type="spellStart"/>
      <w:r w:rsidR="00315860" w:rsidRPr="00315860">
        <w:rPr>
          <w:rFonts w:ascii="Arial"/>
          <w:sz w:val="14"/>
        </w:rPr>
        <w:t>Tishreen</w:t>
      </w:r>
      <w:proofErr w:type="spellEnd"/>
      <w:r w:rsidR="00315860" w:rsidRPr="00315860">
        <w:rPr>
          <w:rFonts w:ascii="Arial"/>
          <w:sz w:val="14"/>
        </w:rPr>
        <w:t xml:space="preserve"> University </w:t>
      </w:r>
      <w:r w:rsidR="00315860" w:rsidRPr="00315860">
        <w:rPr>
          <w:rFonts w:ascii="Arial"/>
          <w:sz w:val="14"/>
        </w:rPr>
        <w:t>–</w:t>
      </w:r>
      <w:r w:rsidR="00315860">
        <w:rPr>
          <w:rFonts w:ascii="Arial"/>
          <w:sz w:val="14"/>
        </w:rPr>
        <w:t xml:space="preserve"> Syria </w:t>
      </w:r>
      <w:r w:rsidR="00315860" w:rsidRPr="00315860">
        <w:rPr>
          <w:rFonts w:ascii="Arial"/>
          <w:sz w:val="14"/>
        </w:rPr>
        <w:t>2013</w:t>
      </w:r>
      <w:r w:rsidR="000F3254">
        <w:rPr>
          <w:rFonts w:ascii="Arial"/>
          <w:sz w:val="14"/>
        </w:rPr>
        <w:t xml:space="preserve"> and her </w:t>
      </w:r>
      <w:r w:rsidR="000F3254" w:rsidRPr="000F3254">
        <w:rPr>
          <w:rFonts w:ascii="Arial"/>
          <w:sz w:val="14"/>
        </w:rPr>
        <w:t>Bachelor Degree BSc. In Pharmacy and Pharmaceutical Chemistry</w:t>
      </w:r>
      <w:r w:rsidR="000F3254">
        <w:rPr>
          <w:rFonts w:ascii="Arial"/>
          <w:sz w:val="14"/>
        </w:rPr>
        <w:t xml:space="preserve"> 2008 </w:t>
      </w:r>
      <w:r w:rsidR="00195EF3">
        <w:rPr>
          <w:rFonts w:ascii="Arial"/>
          <w:sz w:val="14"/>
        </w:rPr>
        <w:t>.She is a</w:t>
      </w:r>
      <w:r w:rsidR="00195EF3" w:rsidRPr="00195EF3">
        <w:t xml:space="preserve"> </w:t>
      </w:r>
      <w:r w:rsidR="00195EF3" w:rsidRPr="00195EF3">
        <w:rPr>
          <w:rFonts w:ascii="Arial"/>
          <w:sz w:val="14"/>
        </w:rPr>
        <w:t>Practical instructor in Microbiology, and biochemistry laboratories at the faculty of Pharmacy</w:t>
      </w:r>
      <w:r w:rsidR="00195EF3">
        <w:rPr>
          <w:rFonts w:ascii="Arial"/>
          <w:sz w:val="14"/>
        </w:rPr>
        <w:t xml:space="preserve"> </w:t>
      </w:r>
      <w:r w:rsidR="00195EF3" w:rsidRPr="00195EF3">
        <w:rPr>
          <w:rFonts w:ascii="Arial"/>
          <w:sz w:val="14"/>
        </w:rPr>
        <w:t xml:space="preserve">Al Andalus private university for Medical Sciences </w:t>
      </w:r>
      <w:r w:rsidR="00195EF3" w:rsidRPr="00195EF3">
        <w:rPr>
          <w:rFonts w:ascii="Arial"/>
          <w:sz w:val="14"/>
        </w:rPr>
        <w:t>–</w:t>
      </w:r>
      <w:r w:rsidR="00195EF3" w:rsidRPr="00195EF3">
        <w:rPr>
          <w:rFonts w:ascii="Arial"/>
          <w:sz w:val="14"/>
        </w:rPr>
        <w:t xml:space="preserve"> Syria.</w:t>
      </w:r>
      <w:r w:rsidR="000F3254">
        <w:rPr>
          <w:rFonts w:ascii="Arial"/>
          <w:sz w:val="14"/>
        </w:rPr>
        <w:t xml:space="preserve"> She has five publications in several medical and pharmaceutical journals </w:t>
      </w:r>
    </w:p>
    <w:p w:rsidR="00390A4E" w:rsidRPr="00390A4E" w:rsidRDefault="00A9710C" w:rsidP="00390A4E">
      <w:pPr>
        <w:spacing w:before="62"/>
        <w:ind w:left="4217" w:right="4235"/>
        <w:jc w:val="center"/>
        <w:rPr>
          <w:rFonts w:ascii="Arial"/>
          <w:color w:val="0000FF" w:themeColor="hyperlink"/>
          <w:sz w:val="14"/>
          <w:u w:val="single"/>
        </w:rPr>
      </w:pPr>
      <w:bookmarkStart w:id="0" w:name="_GoBack"/>
      <w:bookmarkEnd w:id="0"/>
      <w:r w:rsidRPr="00390A4E">
        <w:rPr>
          <w:rFonts w:ascii="Arial"/>
          <w:sz w:val="18"/>
          <w:szCs w:val="28"/>
        </w:rPr>
        <w:t>Email</w:t>
      </w:r>
      <w:r>
        <w:rPr>
          <w:rFonts w:ascii="Arial"/>
          <w:sz w:val="14"/>
        </w:rPr>
        <w:t>:</w:t>
      </w:r>
      <w:r w:rsidRPr="00390A4E">
        <w:rPr>
          <w:rFonts w:ascii="Arial"/>
          <w:sz w:val="18"/>
          <w:szCs w:val="28"/>
        </w:rPr>
        <w:t xml:space="preserve"> </w:t>
      </w:r>
      <w:hyperlink r:id="rId12" w:history="1">
        <w:r w:rsidR="00390A4E" w:rsidRPr="00390A4E">
          <w:rPr>
            <w:rStyle w:val="Hyperlink"/>
            <w:rFonts w:ascii="Arial"/>
            <w:sz w:val="18"/>
            <w:szCs w:val="28"/>
          </w:rPr>
          <w:t>rimharf</w:t>
        </w:r>
      </w:hyperlink>
      <w:r w:rsidR="00390A4E" w:rsidRPr="00390A4E">
        <w:rPr>
          <w:rStyle w:val="Hyperlink"/>
          <w:rFonts w:ascii="Arial"/>
          <w:sz w:val="18"/>
          <w:szCs w:val="28"/>
        </w:rPr>
        <w:t>@yahoo.com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32841B0" wp14:editId="3A6CB1C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1A1" w:rsidRDefault="00A771A1">
      <w:r>
        <w:separator/>
      </w:r>
    </w:p>
  </w:endnote>
  <w:endnote w:type="continuationSeparator" w:id="0">
    <w:p w:rsidR="00A771A1" w:rsidRDefault="00A77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C56" w:rsidRDefault="00E16C5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6C56" w:rsidRPr="005B3A56" w:rsidRDefault="00E16C5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16C56" w:rsidRPr="005B3A56" w:rsidRDefault="00E16C5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E16C56" w:rsidRPr="005B3A56" w:rsidRDefault="00E16C5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16C56" w:rsidRPr="005B3A56" w:rsidRDefault="00E16C5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6C56" w:rsidRPr="005B3A56" w:rsidRDefault="00E16C5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16C56" w:rsidRPr="005B3A56" w:rsidRDefault="00E16C5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E16C56" w:rsidRPr="005B3A56" w:rsidRDefault="00E16C5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16C56" w:rsidRPr="005B3A56" w:rsidRDefault="00E16C5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6C56" w:rsidRPr="005B3A56" w:rsidRDefault="00E16C5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16C56" w:rsidRPr="005B3A56" w:rsidRDefault="00E16C5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E16C56" w:rsidRPr="005B3A56" w:rsidRDefault="00E16C5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16C56" w:rsidRPr="005B3A56" w:rsidRDefault="00E16C5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1A1" w:rsidRDefault="00A771A1">
      <w:r>
        <w:separator/>
      </w:r>
    </w:p>
  </w:footnote>
  <w:footnote w:type="continuationSeparator" w:id="0">
    <w:p w:rsidR="00A771A1" w:rsidRDefault="00A77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C56" w:rsidRDefault="00E16C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3254"/>
    <w:rsid w:val="000F5B85"/>
    <w:rsid w:val="001263DF"/>
    <w:rsid w:val="00195EF3"/>
    <w:rsid w:val="002455EC"/>
    <w:rsid w:val="00292ED9"/>
    <w:rsid w:val="00315860"/>
    <w:rsid w:val="00365A51"/>
    <w:rsid w:val="00390A4E"/>
    <w:rsid w:val="003A411C"/>
    <w:rsid w:val="003C2BDD"/>
    <w:rsid w:val="00404E5B"/>
    <w:rsid w:val="00414F7B"/>
    <w:rsid w:val="004355DC"/>
    <w:rsid w:val="004749B4"/>
    <w:rsid w:val="00494130"/>
    <w:rsid w:val="004C4E47"/>
    <w:rsid w:val="004F3523"/>
    <w:rsid w:val="005973B9"/>
    <w:rsid w:val="005B3A56"/>
    <w:rsid w:val="006060CE"/>
    <w:rsid w:val="0063497F"/>
    <w:rsid w:val="00685B62"/>
    <w:rsid w:val="00873DF0"/>
    <w:rsid w:val="008756E6"/>
    <w:rsid w:val="008A08B6"/>
    <w:rsid w:val="009B2D44"/>
    <w:rsid w:val="00A07E82"/>
    <w:rsid w:val="00A771A1"/>
    <w:rsid w:val="00A9710C"/>
    <w:rsid w:val="00AE3E37"/>
    <w:rsid w:val="00B21A57"/>
    <w:rsid w:val="00C01B3D"/>
    <w:rsid w:val="00C33602"/>
    <w:rsid w:val="00C34DF2"/>
    <w:rsid w:val="00C872C8"/>
    <w:rsid w:val="00CD6F55"/>
    <w:rsid w:val="00D5055D"/>
    <w:rsid w:val="00DE3104"/>
    <w:rsid w:val="00E16C56"/>
    <w:rsid w:val="00E26B10"/>
    <w:rsid w:val="00F72EEA"/>
    <w:rsid w:val="00F84CAE"/>
    <w:rsid w:val="00FB510D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&#1575;&#1604;&#1605;&#1589;&#1606;&#1601;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A"/>
  <c:roundedCorners val="0"/>
  <mc:AlternateContent xmlns:mc="http://schemas.openxmlformats.org/markup-compatibility/2006">
    <mc:Choice xmlns:c14="http://schemas.microsoft.com/office/drawing/2007/8/2/chart" Requires="c14">
      <c14:style val="125"/>
    </mc:Choice>
    <mc:Fallback>
      <c:style val="2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3"/>
              <c:layout>
                <c:manualLayout>
                  <c:x val="0"/>
                  <c:y val="-3.10077519379844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ar-S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ورقة1!$B$322:$B$325</c:f>
              <c:strCache>
                <c:ptCount val="4"/>
                <c:pt idx="0">
                  <c:v>Sensitivity</c:v>
                </c:pt>
                <c:pt idx="1">
                  <c:v>Specificity</c:v>
                </c:pt>
                <c:pt idx="2">
                  <c:v>Positive Predictive Value </c:v>
                </c:pt>
                <c:pt idx="3">
                  <c:v>Negative Predictive Value </c:v>
                </c:pt>
              </c:strCache>
            </c:strRef>
          </c:cat>
          <c:val>
            <c:numRef>
              <c:f>ورقة1!$C$322:$C$325</c:f>
              <c:numCache>
                <c:formatCode>0%</c:formatCode>
                <c:ptCount val="4"/>
                <c:pt idx="0">
                  <c:v>0.78</c:v>
                </c:pt>
                <c:pt idx="1">
                  <c:v>0.8</c:v>
                </c:pt>
                <c:pt idx="2">
                  <c:v>0.97</c:v>
                </c:pt>
                <c:pt idx="3">
                  <c:v>0.33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59536384"/>
        <c:axId val="259678592"/>
      </c:barChart>
      <c:catAx>
        <c:axId val="259536384"/>
        <c:scaling>
          <c:orientation val="maxMin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800" b="1">
                <a:cs typeface="+mj-cs"/>
              </a:defRPr>
            </a:pPr>
            <a:endParaRPr lang="ar-SA"/>
          </a:p>
        </c:txPr>
        <c:crossAx val="259678592"/>
        <c:crosses val="autoZero"/>
        <c:auto val="1"/>
        <c:lblAlgn val="ctr"/>
        <c:lblOffset val="100"/>
        <c:noMultiLvlLbl val="0"/>
      </c:catAx>
      <c:valAx>
        <c:axId val="259678592"/>
        <c:scaling>
          <c:orientation val="minMax"/>
        </c:scaling>
        <c:delete val="0"/>
        <c:axPos val="r"/>
        <c:majorGridlines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900" b="1"/>
            </a:pPr>
            <a:endParaRPr lang="ar-SA"/>
          </a:p>
        </c:txPr>
        <c:crossAx val="259536384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 alaa center</cp:lastModifiedBy>
  <cp:revision>2</cp:revision>
  <dcterms:created xsi:type="dcterms:W3CDTF">2016-12-06T11:19:00Z</dcterms:created>
  <dcterms:modified xsi:type="dcterms:W3CDTF">2017-09-16T05:47:00Z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