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832" w:rsidRDefault="00BE1832" w:rsidP="00BE1832">
      <w:pPr>
        <w:spacing w:line="360" w:lineRule="auto"/>
        <w:rPr>
          <w:rFonts w:ascii="Cambria" w:hAnsi="Cambria" w:cs="Arial"/>
          <w:b/>
          <w:sz w:val="28"/>
          <w:szCs w:val="28"/>
          <w:u w:val="single"/>
        </w:rPr>
      </w:pPr>
      <w:r w:rsidRPr="00096EB4">
        <w:rPr>
          <w:rFonts w:asciiTheme="majorHAnsi" w:hAnsiTheme="majorHAnsi" w:cs="Arial"/>
          <w:b/>
          <w:sz w:val="24"/>
          <w:szCs w:val="24"/>
          <w:u w:val="single"/>
        </w:rPr>
        <w:t>Risk Factors associated with Influenza hospitalizations in Influenza sentinel sites in Rwanda fro</w:t>
      </w:r>
      <w:r w:rsidR="008B28CC">
        <w:rPr>
          <w:rFonts w:asciiTheme="majorHAnsi" w:hAnsiTheme="majorHAnsi" w:cs="Arial"/>
          <w:b/>
          <w:sz w:val="24"/>
          <w:szCs w:val="24"/>
          <w:u w:val="single"/>
        </w:rPr>
        <w:t>m January 2009 to December 2016</w:t>
      </w:r>
    </w:p>
    <w:p w:rsidR="00BE1832" w:rsidRPr="00096EB4" w:rsidRDefault="00BE1832" w:rsidP="00BE1832">
      <w:pPr>
        <w:autoSpaceDE w:val="0"/>
        <w:autoSpaceDN w:val="0"/>
        <w:adjustRightInd w:val="0"/>
        <w:spacing w:line="276" w:lineRule="auto"/>
        <w:jc w:val="both"/>
        <w:rPr>
          <w:rFonts w:asciiTheme="majorHAnsi" w:eastAsia="Garamond" w:hAnsiTheme="majorHAnsi"/>
          <w:sz w:val="24"/>
          <w:szCs w:val="24"/>
        </w:rPr>
      </w:pPr>
      <w:proofErr w:type="gramStart"/>
      <w:r w:rsidRPr="00096EB4">
        <w:rPr>
          <w:rFonts w:asciiTheme="majorHAnsi" w:eastAsia="Garamond" w:hAnsiTheme="majorHAnsi"/>
          <w:sz w:val="24"/>
          <w:szCs w:val="24"/>
        </w:rPr>
        <w:t>U</w:t>
      </w:r>
      <w:r>
        <w:rPr>
          <w:rFonts w:asciiTheme="majorHAnsi" w:eastAsia="Garamond" w:hAnsiTheme="majorHAnsi"/>
          <w:sz w:val="24"/>
          <w:szCs w:val="24"/>
        </w:rPr>
        <w:t>mutoni</w:t>
      </w:r>
      <w:r w:rsidRPr="00096EB4">
        <w:rPr>
          <w:rFonts w:asciiTheme="majorHAnsi" w:eastAsia="Garamond" w:hAnsiTheme="majorHAnsi"/>
          <w:sz w:val="24"/>
          <w:szCs w:val="24"/>
        </w:rPr>
        <w:t>.</w:t>
      </w:r>
      <w:proofErr w:type="gramEnd"/>
      <w:r w:rsidRPr="00096EB4">
        <w:rPr>
          <w:rFonts w:asciiTheme="majorHAnsi" w:eastAsia="Garamond" w:hAnsiTheme="majorHAnsi"/>
          <w:sz w:val="24"/>
          <w:szCs w:val="24"/>
        </w:rPr>
        <w:t xml:space="preserve"> Angela</w:t>
      </w:r>
      <w:r>
        <w:rPr>
          <w:rFonts w:asciiTheme="majorHAnsi" w:eastAsia="Garamond" w:hAnsiTheme="majorHAnsi"/>
          <w:sz w:val="24"/>
          <w:szCs w:val="24"/>
          <w:vertAlign w:val="superscript"/>
        </w:rPr>
        <w:t>1</w:t>
      </w:r>
      <w:proofErr w:type="gramStart"/>
      <w:r>
        <w:rPr>
          <w:rFonts w:asciiTheme="majorHAnsi" w:eastAsia="Garamond" w:hAnsiTheme="majorHAnsi"/>
          <w:sz w:val="24"/>
          <w:szCs w:val="24"/>
          <w:vertAlign w:val="superscript"/>
        </w:rPr>
        <w:t>,2</w:t>
      </w:r>
      <w:proofErr w:type="gramEnd"/>
      <w:r w:rsidRPr="00096EB4">
        <w:rPr>
          <w:rFonts w:asciiTheme="majorHAnsi" w:eastAsia="Garamond" w:hAnsiTheme="majorHAnsi"/>
          <w:sz w:val="24"/>
          <w:szCs w:val="24"/>
        </w:rPr>
        <w:t>,</w:t>
      </w:r>
      <w:r w:rsidR="008B28CC">
        <w:rPr>
          <w:rFonts w:asciiTheme="majorHAnsi" w:eastAsia="Garamond" w:hAnsiTheme="majorHAnsi"/>
          <w:sz w:val="24"/>
          <w:szCs w:val="24"/>
        </w:rPr>
        <w:t xml:space="preserve"> Jose</w:t>
      </w:r>
      <w:r w:rsidR="008B28CC" w:rsidRPr="008B28CC">
        <w:rPr>
          <w:rFonts w:asciiTheme="majorHAnsi" w:eastAsia="Garamond" w:hAnsiTheme="majorHAnsi"/>
          <w:sz w:val="24"/>
          <w:szCs w:val="24"/>
        </w:rPr>
        <w:t xml:space="preserve"> </w:t>
      </w:r>
      <w:r w:rsidR="008B28CC">
        <w:rPr>
          <w:rFonts w:asciiTheme="majorHAnsi" w:eastAsia="Garamond" w:hAnsiTheme="majorHAnsi"/>
          <w:sz w:val="24"/>
          <w:szCs w:val="24"/>
        </w:rPr>
        <w:t>Nyamusore</w:t>
      </w:r>
      <w:r w:rsidR="008B28CC">
        <w:rPr>
          <w:rFonts w:asciiTheme="majorHAnsi" w:eastAsia="Garamond" w:hAnsiTheme="majorHAnsi"/>
          <w:sz w:val="24"/>
          <w:szCs w:val="24"/>
          <w:vertAlign w:val="superscript"/>
        </w:rPr>
        <w:t xml:space="preserve"> </w:t>
      </w:r>
      <w:r w:rsidR="008B28CC">
        <w:rPr>
          <w:rFonts w:asciiTheme="majorHAnsi" w:eastAsia="Garamond" w:hAnsiTheme="majorHAnsi"/>
          <w:sz w:val="24"/>
          <w:szCs w:val="24"/>
          <w:vertAlign w:val="superscript"/>
        </w:rPr>
        <w:t>1</w:t>
      </w:r>
      <w:r w:rsidR="008B28CC">
        <w:rPr>
          <w:rFonts w:asciiTheme="majorHAnsi" w:eastAsia="Garamond" w:hAnsiTheme="majorHAnsi"/>
          <w:sz w:val="24"/>
          <w:szCs w:val="24"/>
        </w:rPr>
        <w:t>,</w:t>
      </w:r>
      <w:r w:rsidRPr="00096EB4">
        <w:rPr>
          <w:rFonts w:asciiTheme="majorHAnsi" w:eastAsia="Garamond" w:hAnsiTheme="majorHAnsi"/>
          <w:sz w:val="24"/>
          <w:szCs w:val="24"/>
        </w:rPr>
        <w:t>O</w:t>
      </w:r>
      <w:r>
        <w:rPr>
          <w:rFonts w:asciiTheme="majorHAnsi" w:eastAsia="Garamond" w:hAnsiTheme="majorHAnsi"/>
          <w:sz w:val="24"/>
          <w:szCs w:val="24"/>
        </w:rPr>
        <w:t>molo</w:t>
      </w:r>
      <w:r w:rsidRPr="00096EB4">
        <w:rPr>
          <w:rFonts w:asciiTheme="majorHAnsi" w:eastAsia="Garamond" w:hAnsiTheme="majorHAnsi"/>
          <w:sz w:val="24"/>
          <w:szCs w:val="24"/>
        </w:rPr>
        <w:t>.Jared</w:t>
      </w:r>
      <w:r w:rsidRPr="00096EB4">
        <w:rPr>
          <w:rFonts w:asciiTheme="majorHAnsi" w:eastAsia="Garamond" w:hAnsiTheme="majorHAnsi"/>
          <w:sz w:val="24"/>
          <w:szCs w:val="24"/>
          <w:vertAlign w:val="superscript"/>
        </w:rPr>
        <w:t>2</w:t>
      </w:r>
      <w:r w:rsidRPr="00096EB4">
        <w:rPr>
          <w:rFonts w:asciiTheme="majorHAnsi" w:eastAsia="Garamond" w:hAnsiTheme="majorHAnsi"/>
          <w:sz w:val="24"/>
          <w:szCs w:val="24"/>
        </w:rPr>
        <w:t xml:space="preserve"> , N</w:t>
      </w:r>
      <w:r>
        <w:rPr>
          <w:rFonts w:asciiTheme="majorHAnsi" w:eastAsia="Garamond" w:hAnsiTheme="majorHAnsi"/>
          <w:sz w:val="24"/>
          <w:szCs w:val="24"/>
        </w:rPr>
        <w:t>taganira</w:t>
      </w:r>
      <w:r w:rsidRPr="00096EB4">
        <w:rPr>
          <w:rFonts w:asciiTheme="majorHAnsi" w:eastAsia="Garamond" w:hAnsiTheme="majorHAnsi"/>
          <w:sz w:val="24"/>
          <w:szCs w:val="24"/>
        </w:rPr>
        <w:t>.Joseph</w:t>
      </w:r>
      <w:r w:rsidRPr="00096EB4">
        <w:rPr>
          <w:rFonts w:asciiTheme="majorHAnsi" w:eastAsia="Garamond" w:hAnsiTheme="majorHAnsi"/>
          <w:sz w:val="24"/>
          <w:szCs w:val="24"/>
          <w:vertAlign w:val="superscript"/>
        </w:rPr>
        <w:t>2</w:t>
      </w:r>
    </w:p>
    <w:p w:rsidR="00BE1832" w:rsidRPr="00096EB4" w:rsidRDefault="00BE1832" w:rsidP="00BE1832">
      <w:pPr>
        <w:autoSpaceDE w:val="0"/>
        <w:autoSpaceDN w:val="0"/>
        <w:adjustRightInd w:val="0"/>
        <w:spacing w:line="276" w:lineRule="auto"/>
        <w:jc w:val="both"/>
        <w:rPr>
          <w:rFonts w:asciiTheme="majorHAnsi" w:eastAsia="Garamond" w:hAnsiTheme="majorHAnsi"/>
          <w:sz w:val="24"/>
          <w:szCs w:val="24"/>
        </w:rPr>
      </w:pPr>
      <w:r w:rsidRPr="00096EB4">
        <w:rPr>
          <w:rFonts w:asciiTheme="majorHAnsi" w:eastAsia="Garamond" w:hAnsiTheme="majorHAnsi"/>
          <w:b/>
          <w:sz w:val="24"/>
          <w:szCs w:val="24"/>
        </w:rPr>
        <w:t>Affiliations:</w:t>
      </w:r>
    </w:p>
    <w:p w:rsidR="00BE1832" w:rsidRPr="00096EB4" w:rsidRDefault="00BE1832" w:rsidP="00BE1832">
      <w:pPr>
        <w:autoSpaceDE w:val="0"/>
        <w:autoSpaceDN w:val="0"/>
        <w:adjustRightInd w:val="0"/>
        <w:spacing w:line="276" w:lineRule="auto"/>
        <w:jc w:val="both"/>
        <w:rPr>
          <w:rFonts w:asciiTheme="majorHAnsi" w:eastAsia="Garamond" w:hAnsiTheme="majorHAnsi"/>
          <w:sz w:val="24"/>
          <w:szCs w:val="24"/>
        </w:rPr>
      </w:pPr>
      <w:r w:rsidRPr="00096EB4">
        <w:rPr>
          <w:rFonts w:asciiTheme="majorHAnsi" w:eastAsia="Garamond" w:hAnsiTheme="majorHAnsi"/>
          <w:sz w:val="24"/>
          <w:szCs w:val="24"/>
          <w:vertAlign w:val="superscript"/>
        </w:rPr>
        <w:t>1</w:t>
      </w:r>
      <w:r w:rsidRPr="00096EB4">
        <w:rPr>
          <w:rFonts w:asciiTheme="majorHAnsi" w:eastAsia="Garamond" w:hAnsiTheme="majorHAnsi"/>
          <w:sz w:val="24"/>
          <w:szCs w:val="24"/>
        </w:rPr>
        <w:t xml:space="preserve">Rwanda Biomedical Center, Ministry of Health, Kigali, Rwanda; </w:t>
      </w:r>
      <w:r w:rsidRPr="00096EB4">
        <w:rPr>
          <w:rFonts w:asciiTheme="majorHAnsi" w:eastAsia="Garamond" w:hAnsiTheme="majorHAnsi"/>
          <w:sz w:val="24"/>
          <w:szCs w:val="24"/>
          <w:vertAlign w:val="superscript"/>
        </w:rPr>
        <w:t>2</w:t>
      </w:r>
      <w:r w:rsidRPr="00096EB4">
        <w:rPr>
          <w:rFonts w:asciiTheme="majorHAnsi" w:eastAsia="Garamond" w:hAnsiTheme="majorHAnsi"/>
          <w:sz w:val="24"/>
          <w:szCs w:val="24"/>
        </w:rPr>
        <w:t xml:space="preserve">University of Rwanda College of Medicine and Health Sciences Field Epidemiology and Laboratory Training Program, Kigali, Rwanda, 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Cs/>
          <w:sz w:val="24"/>
          <w:szCs w:val="24"/>
        </w:rPr>
      </w:pPr>
      <w:r w:rsidRPr="00096EB4">
        <w:rPr>
          <w:rFonts w:asciiTheme="majorHAnsi" w:hAnsiTheme="majorHAnsi" w:cs="MinionPro-BoldIt"/>
          <w:b/>
          <w:bCs/>
          <w:iCs/>
          <w:sz w:val="24"/>
          <w:szCs w:val="24"/>
        </w:rPr>
        <w:t xml:space="preserve">Background 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</w:p>
    <w:p w:rsidR="00BE1832" w:rsidRPr="00096EB4" w:rsidRDefault="00E1179E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  <w:r w:rsidRPr="00096EB4">
        <w:rPr>
          <w:rFonts w:asciiTheme="majorHAnsi" w:hAnsiTheme="majorHAnsi"/>
          <w:sz w:val="24"/>
          <w:szCs w:val="24"/>
        </w:rPr>
        <w:t xml:space="preserve">Influenza pandemics and seasonal epidemics remain one of the leading causes of morbidity and mortality </w:t>
      </w:r>
      <w:r w:rsidRPr="00096EB4">
        <w:rPr>
          <w:rFonts w:asciiTheme="majorHAnsi" w:hAnsiTheme="majorHAnsi"/>
          <w:sz w:val="24"/>
          <w:szCs w:val="24"/>
        </w:rPr>
        <w:t>globally</w:t>
      </w:r>
      <w:r>
        <w:rPr>
          <w:rFonts w:asciiTheme="majorHAnsi" w:hAnsiTheme="majorHAnsi"/>
          <w:sz w:val="24"/>
          <w:szCs w:val="24"/>
        </w:rPr>
        <w:t>,</w:t>
      </w:r>
      <w:r w:rsidRPr="00096EB4">
        <w:rPr>
          <w:rFonts w:asciiTheme="majorHAnsi" w:hAnsiTheme="majorHAnsi"/>
          <w:sz w:val="24"/>
          <w:szCs w:val="24"/>
        </w:rPr>
        <w:t xml:space="preserve"> available</w:t>
      </w:r>
      <w:r w:rsidRPr="00096EB4">
        <w:rPr>
          <w:rFonts w:asciiTheme="majorHAnsi" w:hAnsiTheme="majorHAnsi"/>
          <w:sz w:val="24"/>
          <w:szCs w:val="24"/>
        </w:rPr>
        <w:t xml:space="preserve"> data suggest that the burden of Influenza associated hospitalizations is substantial, causing an estimated</w:t>
      </w:r>
      <w:r>
        <w:rPr>
          <w:rFonts w:asciiTheme="majorHAnsi" w:hAnsiTheme="majorHAnsi"/>
          <w:sz w:val="24"/>
          <w:szCs w:val="24"/>
        </w:rPr>
        <w:t xml:space="preserve"> 3–5 million severe </w:t>
      </w:r>
      <w:r w:rsidRPr="00096EB4">
        <w:rPr>
          <w:rFonts w:asciiTheme="majorHAnsi" w:hAnsiTheme="majorHAnsi"/>
          <w:sz w:val="24"/>
          <w:szCs w:val="24"/>
        </w:rPr>
        <w:t>annually</w:t>
      </w:r>
      <w:r>
        <w:rPr>
          <w:rFonts w:asciiTheme="majorHAnsi" w:hAnsiTheme="majorHAnsi"/>
          <w:sz w:val="24"/>
          <w:szCs w:val="24"/>
        </w:rPr>
        <w:t xml:space="preserve">. </w:t>
      </w:r>
      <w:r w:rsidR="00BE1832" w:rsidRPr="00096EB4">
        <w:rPr>
          <w:rFonts w:asciiTheme="majorHAnsi" w:hAnsiTheme="majorHAnsi"/>
          <w:sz w:val="24"/>
          <w:szCs w:val="24"/>
        </w:rPr>
        <w:t xml:space="preserve">Information on the mortality burden associated with seasonal and pandemic influenza virus infection among severe acute respiratory illnesses is scarce in most settings, particularly in </w:t>
      </w:r>
      <w:proofErr w:type="spellStart"/>
      <w:r w:rsidR="00BE1832" w:rsidRPr="00096EB4">
        <w:rPr>
          <w:rFonts w:asciiTheme="majorHAnsi" w:hAnsiTheme="majorHAnsi"/>
          <w:sz w:val="24"/>
          <w:szCs w:val="24"/>
        </w:rPr>
        <w:t>sub-saharan</w:t>
      </w:r>
      <w:proofErr w:type="spellEnd"/>
      <w:r w:rsidR="00BE1832" w:rsidRPr="00096EB4">
        <w:rPr>
          <w:rFonts w:asciiTheme="majorHAnsi" w:hAnsiTheme="majorHAnsi"/>
          <w:sz w:val="24"/>
          <w:szCs w:val="24"/>
        </w:rPr>
        <w:t xml:space="preserve"> Africa.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</w:p>
    <w:p w:rsidR="00BE1832" w:rsidRPr="00096EB4" w:rsidRDefault="00BE1832" w:rsidP="00BE1832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iCs/>
          <w:sz w:val="24"/>
          <w:szCs w:val="24"/>
        </w:rPr>
      </w:pPr>
      <w:r w:rsidRPr="00096EB4">
        <w:rPr>
          <w:rFonts w:asciiTheme="majorHAnsi" w:hAnsiTheme="majorHAnsi" w:cs="Times New Roman"/>
          <w:b/>
          <w:bCs/>
          <w:iCs/>
          <w:sz w:val="24"/>
          <w:szCs w:val="24"/>
        </w:rPr>
        <w:t>Methods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eastAsia="MinionPro-Regular" w:hAnsiTheme="majorHAnsi" w:cs="MinionPro-Regular"/>
          <w:sz w:val="24"/>
          <w:szCs w:val="24"/>
        </w:rPr>
      </w:pPr>
      <w:r w:rsidRPr="00096EB4">
        <w:rPr>
          <w:rFonts w:asciiTheme="majorHAnsi" w:eastAsia="MinionPro-Regular" w:hAnsiTheme="majorHAnsi" w:cs="MinionPro-Regular"/>
          <w:sz w:val="24"/>
          <w:szCs w:val="24"/>
        </w:rPr>
        <w:t xml:space="preserve">We conducted retrospective review of surveillance data of hospitalized severe acute respiratory illness (SARI) and outpatient influenza-like illness (ILI) in 6 sentinel sites representing the country’s 5 provinces in Rwanda from January 2009–December 2016. We compared the characteristics of influenza-positive patients with SARI (hospitalizations) to those with ILI </w:t>
      </w:r>
      <w:r w:rsidR="00111E71">
        <w:rPr>
          <w:rFonts w:asciiTheme="majorHAnsi" w:eastAsia="MinionPro-Regular" w:hAnsiTheme="majorHAnsi" w:cs="MinionPro-Regular"/>
          <w:sz w:val="24"/>
          <w:szCs w:val="24"/>
        </w:rPr>
        <w:t>(mild disease</w:t>
      </w:r>
      <w:r w:rsidRPr="00096EB4">
        <w:rPr>
          <w:rFonts w:asciiTheme="majorHAnsi" w:eastAsia="MinionPro-Regular" w:hAnsiTheme="majorHAnsi" w:cs="MinionPro-Regular"/>
          <w:sz w:val="24"/>
          <w:szCs w:val="24"/>
        </w:rPr>
        <w:t xml:space="preserve">) to identify factors associated with severe disease requiring hospitalization, using </w:t>
      </w:r>
      <w:r w:rsidR="008B28CC">
        <w:rPr>
          <w:rFonts w:asciiTheme="majorHAnsi" w:eastAsia="MinionPro-Regular" w:hAnsiTheme="majorHAnsi" w:cs="MinionPro-Regular"/>
          <w:sz w:val="24"/>
          <w:szCs w:val="24"/>
        </w:rPr>
        <w:t xml:space="preserve">unconditional </w:t>
      </w:r>
      <w:r w:rsidRPr="00096EB4">
        <w:rPr>
          <w:rFonts w:asciiTheme="majorHAnsi" w:eastAsia="MinionPro-Regular" w:hAnsiTheme="majorHAnsi" w:cs="MinionPro-Regular"/>
          <w:sz w:val="24"/>
          <w:szCs w:val="24"/>
        </w:rPr>
        <w:t>logistic regression.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  <w:r w:rsidRPr="00096EB4">
        <w:rPr>
          <w:rFonts w:asciiTheme="majorHAnsi" w:hAnsiTheme="majorHAnsi" w:cs="MinionPro-BoldIt"/>
          <w:b/>
          <w:bCs/>
          <w:iCs/>
          <w:sz w:val="24"/>
          <w:szCs w:val="24"/>
        </w:rPr>
        <w:t>Results</w:t>
      </w:r>
      <w:r w:rsidRPr="00096EB4">
        <w:rPr>
          <w:rFonts w:asciiTheme="majorHAnsi" w:hAnsiTheme="majorHAnsi" w:cs="MinionPro-BoldIt"/>
          <w:b/>
          <w:bCs/>
          <w:i/>
          <w:iCs/>
          <w:sz w:val="24"/>
          <w:szCs w:val="24"/>
        </w:rPr>
        <w:t xml:space="preserve"> 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/>
          <w:iCs/>
          <w:sz w:val="24"/>
          <w:szCs w:val="24"/>
        </w:rPr>
      </w:pPr>
    </w:p>
    <w:p w:rsidR="00BE1832" w:rsidRPr="008B28CC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eastAsia="MinionPro-Regular" w:hAnsiTheme="majorHAnsi" w:cs="MinionPro-Regular"/>
          <w:color w:val="000000"/>
          <w:sz w:val="24"/>
          <w:szCs w:val="24"/>
        </w:rPr>
      </w:pPr>
      <w:r w:rsidRPr="00096EB4">
        <w:rPr>
          <w:rFonts w:asciiTheme="majorHAnsi" w:eastAsia="MinionPro-Regular" w:hAnsiTheme="majorHAnsi" w:cs="MinionPro-Regular"/>
          <w:sz w:val="24"/>
          <w:szCs w:val="24"/>
        </w:rPr>
        <w:t xml:space="preserve">During the study period, influenza virus </w:t>
      </w:r>
      <w:bookmarkStart w:id="0" w:name="_GoBack"/>
      <w:bookmarkEnd w:id="0"/>
      <w:r w:rsidRPr="00096EB4">
        <w:rPr>
          <w:rFonts w:asciiTheme="majorHAnsi" w:eastAsia="MinionPro-Regular" w:hAnsiTheme="majorHAnsi" w:cs="MinionPro-Regular"/>
          <w:sz w:val="24"/>
          <w:szCs w:val="24"/>
        </w:rPr>
        <w:t>was detected in 25.09% (762 of 3036) and 36.08% (464 of 1286) SARI and ILI cases, respectively. On multivariable analysis factors significantly associated with increased risk of influenza-associated SARI hospitalization</w:t>
      </w:r>
      <w:r>
        <w:rPr>
          <w:rFonts w:asciiTheme="majorHAnsi" w:eastAsia="MinionPro-Regular" w:hAnsiTheme="majorHAnsi" w:cs="MinionPro-Regular"/>
          <w:sz w:val="24"/>
          <w:szCs w:val="24"/>
        </w:rPr>
        <w:t>s</w:t>
      </w:r>
      <w:r w:rsidRPr="00096EB4">
        <w:rPr>
          <w:rFonts w:asciiTheme="majorHAnsi" w:eastAsia="MinionPro-Regular" w:hAnsiTheme="majorHAnsi" w:cs="MinionPro-Regular"/>
          <w:sz w:val="24"/>
          <w:szCs w:val="24"/>
        </w:rPr>
        <w:t xml:space="preserve"> were as follows: </w:t>
      </w:r>
      <w:r w:rsidR="00CF1702">
        <w:rPr>
          <w:rFonts w:asciiTheme="majorHAnsi" w:eastAsia="MinionPro-Regular" w:hAnsiTheme="majorHAnsi" w:cs="MinionPro-Regular"/>
          <w:sz w:val="24"/>
          <w:szCs w:val="24"/>
        </w:rPr>
        <w:t>Older a</w:t>
      </w:r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ge (</w:t>
      </w:r>
      <w:r w:rsidR="00CF1702" w:rsidRPr="001A3AD1">
        <w:rPr>
          <w:rFonts w:asciiTheme="majorHAnsi" w:eastAsia="Times New Roman" w:hAnsiTheme="majorHAnsi" w:cs="Times New Roman"/>
          <w:sz w:val="24"/>
          <w:szCs w:val="24"/>
        </w:rPr>
        <w:t>≥</w:t>
      </w:r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45years [adjusted odds ratio {</w:t>
      </w:r>
      <w:proofErr w:type="spellStart"/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aOR</w:t>
      </w:r>
      <w:proofErr w:type="spellEnd"/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}, </w:t>
      </w:r>
      <w:r w:rsidR="00CF1702" w:rsidRPr="001A3AD1">
        <w:rPr>
          <w:rFonts w:asciiTheme="majorHAnsi" w:eastAsia="MinionPro-Regular" w:hAnsiTheme="majorHAnsi" w:cs="MinionPro-Regular"/>
          <w:color w:val="000000"/>
          <w:sz w:val="24"/>
          <w:szCs w:val="24"/>
        </w:rPr>
        <w:t>37</w:t>
      </w:r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.5],</w:t>
      </w:r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5-14years [</w:t>
      </w:r>
      <w:proofErr w:type="spellStart"/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aO</w:t>
      </w:r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R</w:t>
      </w:r>
      <w:proofErr w:type="spellEnd"/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, </w:t>
      </w:r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29</w:t>
      </w:r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>.7</w:t>
      </w:r>
      <w:r w:rsidR="00CF1702" w:rsidRPr="001A3AD1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], </w:t>
      </w:r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15-24years [</w:t>
      </w:r>
      <w:proofErr w:type="spellStart"/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aOR</w:t>
      </w:r>
      <w:proofErr w:type="spellEnd"/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, </w:t>
      </w:r>
      <w:r w:rsidR="00CF1702" w:rsidRPr="001A3AD1">
        <w:rPr>
          <w:rFonts w:asciiTheme="majorHAnsi" w:eastAsia="MinionPro-Regular" w:hAnsiTheme="majorHAnsi" w:cs="MinionPro-Regular"/>
          <w:color w:val="000000"/>
          <w:sz w:val="24"/>
          <w:szCs w:val="24"/>
        </w:rPr>
        <w:t>1</w:t>
      </w:r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0.1], 25-34years [</w:t>
      </w:r>
      <w:proofErr w:type="spellStart"/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aOR</w:t>
      </w:r>
      <w:proofErr w:type="spellEnd"/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, </w:t>
      </w:r>
      <w:r w:rsidR="00CF1702" w:rsidRPr="001A3AD1">
        <w:rPr>
          <w:rFonts w:asciiTheme="majorHAnsi" w:eastAsia="MinionPro-Regular" w:hAnsiTheme="majorHAnsi" w:cs="MinionPro-Regular"/>
          <w:color w:val="000000"/>
          <w:sz w:val="24"/>
          <w:szCs w:val="24"/>
        </w:rPr>
        <w:t>13</w:t>
      </w:r>
      <w:r w:rsidR="00F26A5B">
        <w:rPr>
          <w:rFonts w:asciiTheme="majorHAnsi" w:eastAsia="MinionPro-Regular" w:hAnsiTheme="majorHAnsi" w:cs="MinionPro-Regular"/>
          <w:color w:val="000000"/>
          <w:sz w:val="24"/>
          <w:szCs w:val="24"/>
        </w:rPr>
        <w:t>.5</w:t>
      </w:r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], 35-44years [</w:t>
      </w:r>
      <w:proofErr w:type="spellStart"/>
      <w:r w:rsidR="00CF1702">
        <w:rPr>
          <w:rFonts w:asciiTheme="majorHAnsi" w:eastAsia="MinionPro-Regular" w:hAnsiTheme="majorHAnsi" w:cs="MinionPro-Regular"/>
          <w:color w:val="000000"/>
          <w:sz w:val="24"/>
          <w:szCs w:val="24"/>
        </w:rPr>
        <w:t>a</w:t>
      </w:r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>OR</w:t>
      </w:r>
      <w:proofErr w:type="spellEnd"/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>, 27.8</w:t>
      </w:r>
      <w:r w:rsidR="00CF1702" w:rsidRPr="001A3AD1">
        <w:rPr>
          <w:rFonts w:asciiTheme="majorHAnsi" w:eastAsia="MinionPro-Regular" w:hAnsiTheme="majorHAnsi" w:cs="MinionPro-Regular"/>
          <w:color w:val="000000"/>
          <w:sz w:val="24"/>
          <w:szCs w:val="24"/>
        </w:rPr>
        <w:t>] compared with 0–4 years of age)</w:t>
      </w:r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 </w:t>
      </w:r>
      <w:r w:rsidRPr="00096EB4">
        <w:rPr>
          <w:rFonts w:asciiTheme="majorHAnsi" w:eastAsia="MinionPro-Regular" w:hAnsiTheme="majorHAnsi" w:cs="MinionPro-Regular"/>
          <w:sz w:val="24"/>
          <w:szCs w:val="24"/>
        </w:rPr>
        <w:t>and u</w:t>
      </w:r>
      <w:r w:rsidRPr="00096EB4">
        <w:rPr>
          <w:rFonts w:asciiTheme="majorHAnsi" w:eastAsia="MinionPro-Regular" w:hAnsiTheme="majorHAnsi" w:cs="MinionPro-Regular"/>
          <w:color w:val="000000"/>
          <w:sz w:val="24"/>
          <w:szCs w:val="24"/>
        </w:rPr>
        <w:t>nderlying medical conditions</w:t>
      </w:r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 xml:space="preserve"> such as HIV infection [aOR,6.2</w:t>
      </w:r>
      <w:r w:rsidRPr="00096EB4">
        <w:rPr>
          <w:rFonts w:asciiTheme="majorHAnsi" w:eastAsia="MinionPro-Regular" w:hAnsiTheme="majorHAnsi" w:cs="MinionPro-Regular"/>
          <w:color w:val="000000"/>
          <w:sz w:val="24"/>
          <w:szCs w:val="24"/>
        </w:rPr>
        <w:t>),Asthma (aOR,3.2)and chr</w:t>
      </w:r>
      <w:r w:rsidR="008B28CC">
        <w:rPr>
          <w:rFonts w:asciiTheme="majorHAnsi" w:eastAsia="MinionPro-Regular" w:hAnsiTheme="majorHAnsi" w:cs="MinionPro-Regular"/>
          <w:color w:val="000000"/>
          <w:sz w:val="24"/>
          <w:szCs w:val="24"/>
        </w:rPr>
        <w:t>onic shortness of breath (aOR,3.1</w:t>
      </w:r>
      <w:r w:rsidRPr="00096EB4">
        <w:rPr>
          <w:rFonts w:asciiTheme="majorHAnsi" w:eastAsia="MinionPro-Regular" w:hAnsiTheme="majorHAnsi" w:cs="MinionPro-Regular"/>
          <w:color w:val="000000"/>
          <w:sz w:val="24"/>
          <w:szCs w:val="24"/>
        </w:rPr>
        <w:t>).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Cs/>
          <w:sz w:val="24"/>
          <w:szCs w:val="24"/>
        </w:rPr>
      </w:pP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MinionPro-BoldIt"/>
          <w:b/>
          <w:bCs/>
          <w:iCs/>
          <w:sz w:val="24"/>
          <w:szCs w:val="24"/>
        </w:rPr>
      </w:pPr>
      <w:r w:rsidRPr="00096EB4">
        <w:rPr>
          <w:rFonts w:asciiTheme="majorHAnsi" w:hAnsiTheme="majorHAnsi" w:cs="MinionPro-BoldIt"/>
          <w:b/>
          <w:bCs/>
          <w:iCs/>
          <w:sz w:val="24"/>
          <w:szCs w:val="24"/>
        </w:rPr>
        <w:t>Conclusions</w:t>
      </w:r>
    </w:p>
    <w:p w:rsidR="00BE1832" w:rsidRPr="00096EB4" w:rsidRDefault="00BE1832" w:rsidP="00BE1832">
      <w:pPr>
        <w:autoSpaceDE w:val="0"/>
        <w:autoSpaceDN w:val="0"/>
        <w:adjustRightInd w:val="0"/>
        <w:spacing w:after="0"/>
        <w:jc w:val="both"/>
        <w:rPr>
          <w:rFonts w:asciiTheme="majorHAnsi" w:eastAsia="MinionPro-Regular" w:hAnsiTheme="majorHAnsi" w:cs="MinionPro-Regular"/>
          <w:sz w:val="24"/>
          <w:szCs w:val="24"/>
        </w:rPr>
      </w:pPr>
      <w:r w:rsidRPr="00096EB4">
        <w:rPr>
          <w:rFonts w:asciiTheme="majorHAnsi" w:eastAsia="MinionPro-Regular" w:hAnsiTheme="majorHAnsi" w:cs="MinionPro-Regular"/>
          <w:sz w:val="24"/>
          <w:szCs w:val="24"/>
        </w:rPr>
        <w:t>The risk groups identified in this study may benefit most in generating more evidence to inform targeted interventions such as immunization or use of antivirals</w:t>
      </w:r>
      <w:r>
        <w:rPr>
          <w:rFonts w:asciiTheme="majorHAnsi" w:eastAsia="MinionPro-Regular" w:hAnsiTheme="majorHAnsi" w:cs="MinionPro-Regular"/>
          <w:sz w:val="24"/>
          <w:szCs w:val="24"/>
        </w:rPr>
        <w:t xml:space="preserve"> in Rwanda</w:t>
      </w:r>
    </w:p>
    <w:p w:rsidR="008B28CC" w:rsidRDefault="008B28CC" w:rsidP="00BE183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MinionPro-Bold"/>
          <w:b/>
          <w:bCs/>
          <w:sz w:val="24"/>
          <w:szCs w:val="24"/>
        </w:rPr>
      </w:pPr>
    </w:p>
    <w:p w:rsidR="00BE1832" w:rsidRPr="00096EB4" w:rsidRDefault="00BE1832" w:rsidP="00BE1832">
      <w:pPr>
        <w:autoSpaceDE w:val="0"/>
        <w:autoSpaceDN w:val="0"/>
        <w:adjustRightInd w:val="0"/>
        <w:spacing w:line="276" w:lineRule="auto"/>
        <w:jc w:val="both"/>
        <w:rPr>
          <w:rFonts w:asciiTheme="majorHAnsi" w:eastAsia="Garamond" w:hAnsiTheme="majorHAnsi"/>
          <w:sz w:val="24"/>
          <w:szCs w:val="24"/>
        </w:rPr>
      </w:pPr>
      <w:proofErr w:type="gramStart"/>
      <w:r w:rsidRPr="00096EB4">
        <w:rPr>
          <w:rFonts w:asciiTheme="majorHAnsi" w:hAnsiTheme="majorHAnsi" w:cs="MinionPro-Bold"/>
          <w:b/>
          <w:bCs/>
          <w:sz w:val="24"/>
          <w:szCs w:val="24"/>
        </w:rPr>
        <w:lastRenderedPageBreak/>
        <w:t>Keywords.</w:t>
      </w:r>
      <w:proofErr w:type="gramEnd"/>
      <w:r w:rsidRPr="00096EB4">
        <w:rPr>
          <w:rFonts w:asciiTheme="majorHAnsi" w:hAnsiTheme="majorHAnsi" w:cs="MinionPro-Bold"/>
          <w:b/>
          <w:bCs/>
          <w:sz w:val="24"/>
          <w:szCs w:val="24"/>
        </w:rPr>
        <w:t xml:space="preserve">  </w:t>
      </w:r>
      <w:r w:rsidRPr="00096EB4">
        <w:rPr>
          <w:rFonts w:asciiTheme="majorHAnsi" w:eastAsia="MinionPro-Regular" w:hAnsiTheme="majorHAnsi" w:cs="MinionPro-Regular"/>
          <w:sz w:val="24"/>
          <w:szCs w:val="24"/>
        </w:rPr>
        <w:t>HIV; hospitalization; influenza; risk factors; severe acute respiratory illness; Rwanda</w:t>
      </w:r>
    </w:p>
    <w:p w:rsidR="00121E5B" w:rsidRDefault="00121E5B"/>
    <w:sectPr w:rsidR="00121E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ionPro-Bold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i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32"/>
    <w:rsid w:val="00111E71"/>
    <w:rsid w:val="00121E5B"/>
    <w:rsid w:val="008B28CC"/>
    <w:rsid w:val="00BE1832"/>
    <w:rsid w:val="00CF1702"/>
    <w:rsid w:val="00E1179E"/>
    <w:rsid w:val="00F2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2"/>
    <w:pPr>
      <w:spacing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2"/>
    <w:pPr>
      <w:spacing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2019-04-08T13:59:00Z</dcterms:created>
  <dcterms:modified xsi:type="dcterms:W3CDTF">2019-04-08T15:04:00Z</dcterms:modified>
</cp:coreProperties>
</file>