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5455103" w14:textId="77777777" w:rsidR="006B5DC1" w:rsidRDefault="00206D03">
      <w:pPr>
        <w:rPr>
          <w:color w:val="0070C0"/>
          <w:sz w:val="32"/>
        </w:rPr>
      </w:pPr>
      <w:bookmarkStart w:id="0" w:name="_GoBack"/>
      <w:bookmarkEnd w:id="0"/>
      <w:r w:rsidRPr="00206D03">
        <w:rPr>
          <w:color w:val="0070C0"/>
          <w:sz w:val="32"/>
        </w:rPr>
        <w:t xml:space="preserve">Antimicrobial Resistance: </w:t>
      </w:r>
    </w:p>
    <w:p w14:paraId="231F1F3D" w14:textId="6F41B189" w:rsidR="00DF528F" w:rsidRPr="00206D03" w:rsidRDefault="00206D03">
      <w:pPr>
        <w:rPr>
          <w:color w:val="0070C0"/>
          <w:sz w:val="32"/>
        </w:rPr>
      </w:pPr>
      <w:r w:rsidRPr="00206D03">
        <w:rPr>
          <w:color w:val="0070C0"/>
          <w:sz w:val="32"/>
        </w:rPr>
        <w:t>Is there light at the end of the tunnel?</w:t>
      </w:r>
    </w:p>
    <w:p w14:paraId="655BFB17" w14:textId="4DE855CB" w:rsidR="00206D03" w:rsidRPr="003E1AB9" w:rsidRDefault="00206D03">
      <w:pPr>
        <w:rPr>
          <w:b/>
          <w:sz w:val="18"/>
        </w:rPr>
      </w:pPr>
      <w:r w:rsidRPr="003E1AB9">
        <w:rPr>
          <w:b/>
          <w:sz w:val="18"/>
        </w:rPr>
        <w:t>Abstract:</w:t>
      </w:r>
    </w:p>
    <w:p w14:paraId="2478EEA8" w14:textId="70F8DEE4" w:rsidR="00300852" w:rsidRPr="007362EE" w:rsidRDefault="00206D03">
      <w:pPr>
        <w:rPr>
          <w:rFonts w:eastAsia="Gulim" w:cs="Arial"/>
          <w:spacing w:val="-5"/>
          <w:w w:val="95"/>
          <w:sz w:val="18"/>
          <w:szCs w:val="18"/>
          <w:shd w:val="clear" w:color="auto" w:fill="FFFFFF" w:themeFill="background1"/>
        </w:rPr>
      </w:pPr>
      <w:r w:rsidRPr="007362EE">
        <w:rPr>
          <w:sz w:val="18"/>
          <w:szCs w:val="18"/>
        </w:rPr>
        <w:t xml:space="preserve">Antimicrobial resistance or AMR is a serious global health emergency. The rapid spread of multi-drug resistant (MDR) and extremely drug resistant (XDR) bacteria across the globe has put the success of modern medicine in jeopardy. </w:t>
      </w:r>
      <w:r w:rsidRPr="007362EE">
        <w:rPr>
          <w:rFonts w:eastAsia="Gulim" w:cs="Arial"/>
          <w:spacing w:val="-5"/>
          <w:w w:val="95"/>
          <w:sz w:val="18"/>
          <w:szCs w:val="18"/>
          <w:shd w:val="clear" w:color="auto" w:fill="FFFFFF" w:themeFill="background1"/>
        </w:rPr>
        <w:t>According to a report published by Jim</w:t>
      </w:r>
      <w:r w:rsidRPr="007362EE">
        <w:rPr>
          <w:rFonts w:eastAsia="Gulim" w:cs="Arial"/>
          <w:spacing w:val="-5"/>
          <w:w w:val="95"/>
          <w:sz w:val="18"/>
          <w:szCs w:val="18"/>
          <w:shd w:val="clear" w:color="auto" w:fill="FFFFFF" w:themeFill="background1"/>
        </w:rPr>
        <w:t xml:space="preserve"> O Neil in</w:t>
      </w:r>
      <w:r w:rsidRPr="007362EE">
        <w:rPr>
          <w:rFonts w:eastAsia="Gulim" w:cs="Arial"/>
          <w:spacing w:val="-5"/>
          <w:w w:val="95"/>
          <w:sz w:val="18"/>
          <w:szCs w:val="18"/>
          <w:shd w:val="clear" w:color="auto" w:fill="FFFFFF" w:themeFill="background1"/>
        </w:rPr>
        <w:t xml:space="preserve"> 20</w:t>
      </w:r>
      <w:r w:rsidRPr="007362EE">
        <w:rPr>
          <w:rFonts w:eastAsia="Gulim" w:cs="Arial"/>
          <w:spacing w:val="-5"/>
          <w:w w:val="95"/>
          <w:sz w:val="18"/>
          <w:szCs w:val="18"/>
          <w:shd w:val="clear" w:color="auto" w:fill="FFFFFF" w:themeFill="background1"/>
        </w:rPr>
        <w:t xml:space="preserve">14, </w:t>
      </w:r>
      <w:r w:rsidR="00300852" w:rsidRPr="007362EE">
        <w:rPr>
          <w:rFonts w:eastAsia="Gulim" w:cs="Arial"/>
          <w:spacing w:val="-5"/>
          <w:w w:val="95"/>
          <w:sz w:val="18"/>
          <w:szCs w:val="18"/>
          <w:shd w:val="clear" w:color="auto" w:fill="FFFFFF" w:themeFill="background1"/>
        </w:rPr>
        <w:t>if no</w:t>
      </w:r>
      <w:r w:rsidR="00300852" w:rsidRPr="007362EE">
        <w:rPr>
          <w:rFonts w:eastAsia="Gulim" w:cs="Arial"/>
          <w:spacing w:val="-5"/>
          <w:w w:val="95"/>
          <w:sz w:val="18"/>
          <w:szCs w:val="18"/>
          <w:shd w:val="clear" w:color="auto" w:fill="FFFFFF" w:themeFill="background1"/>
        </w:rPr>
        <w:t xml:space="preserve"> action is taken now then </w:t>
      </w:r>
      <w:r w:rsidRPr="007362EE">
        <w:rPr>
          <w:rFonts w:eastAsia="Gulim" w:cs="Arial"/>
          <w:spacing w:val="-5"/>
          <w:w w:val="95"/>
          <w:sz w:val="18"/>
          <w:szCs w:val="18"/>
          <w:shd w:val="clear" w:color="auto" w:fill="FFFFFF" w:themeFill="background1"/>
        </w:rPr>
        <w:t>by the year</w:t>
      </w:r>
      <w:r w:rsidRPr="007362EE">
        <w:rPr>
          <w:rFonts w:eastAsia="Gulim" w:cs="Arial"/>
          <w:spacing w:val="-5"/>
          <w:w w:val="95"/>
          <w:sz w:val="18"/>
          <w:szCs w:val="18"/>
          <w:shd w:val="clear" w:color="auto" w:fill="FFFFFF" w:themeFill="background1"/>
        </w:rPr>
        <w:t xml:space="preserve"> 2050, 10 million people</w:t>
      </w:r>
      <w:r w:rsidRPr="007362EE">
        <w:rPr>
          <w:rFonts w:eastAsia="Gulim" w:cs="Arial"/>
          <w:spacing w:val="-5"/>
          <w:w w:val="95"/>
          <w:sz w:val="18"/>
          <w:szCs w:val="18"/>
          <w:shd w:val="clear" w:color="auto" w:fill="FFFFFF" w:themeFill="background1"/>
        </w:rPr>
        <w:t xml:space="preserve"> </w:t>
      </w:r>
      <w:r w:rsidRPr="007362EE">
        <w:rPr>
          <w:rFonts w:eastAsia="Gulim" w:cs="Arial"/>
          <w:spacing w:val="-5"/>
          <w:w w:val="95"/>
          <w:sz w:val="18"/>
          <w:szCs w:val="18"/>
          <w:shd w:val="clear" w:color="auto" w:fill="FFFFFF" w:themeFill="background1"/>
        </w:rPr>
        <w:t xml:space="preserve">will die </w:t>
      </w:r>
      <w:r w:rsidR="00323199" w:rsidRPr="007362EE">
        <w:rPr>
          <w:rFonts w:eastAsia="Gulim" w:cs="Arial"/>
          <w:spacing w:val="-5"/>
          <w:w w:val="95"/>
          <w:sz w:val="18"/>
          <w:szCs w:val="18"/>
          <w:shd w:val="clear" w:color="auto" w:fill="FFFFFF" w:themeFill="background1"/>
        </w:rPr>
        <w:t xml:space="preserve">every year </w:t>
      </w:r>
      <w:r w:rsidRPr="007362EE">
        <w:rPr>
          <w:rFonts w:eastAsia="Gulim" w:cs="Arial"/>
          <w:spacing w:val="-5"/>
          <w:w w:val="95"/>
          <w:sz w:val="18"/>
          <w:szCs w:val="18"/>
          <w:shd w:val="clear" w:color="auto" w:fill="FFFFFF" w:themeFill="background1"/>
        </w:rPr>
        <w:t>due to drug-resistant infections</w:t>
      </w:r>
      <w:r w:rsidR="00300852" w:rsidRPr="007362EE">
        <w:rPr>
          <w:rFonts w:eastAsia="Gulim" w:cs="Arial"/>
          <w:spacing w:val="-5"/>
          <w:w w:val="95"/>
          <w:sz w:val="18"/>
          <w:szCs w:val="18"/>
          <w:shd w:val="clear" w:color="auto" w:fill="FFFFFF" w:themeFill="background1"/>
        </w:rPr>
        <w:t xml:space="preserve"> and this number would be greater than deaths caused by diabetes and cancer put together. </w:t>
      </w:r>
      <w:r w:rsidRPr="007362EE">
        <w:rPr>
          <w:rFonts w:eastAsia="Gulim" w:cs="Arial"/>
          <w:spacing w:val="-5"/>
          <w:w w:val="95"/>
          <w:sz w:val="18"/>
          <w:szCs w:val="18"/>
          <w:shd w:val="clear" w:color="auto" w:fill="FFFFFF" w:themeFill="background1"/>
        </w:rPr>
        <w:t xml:space="preserve">Carbapenem resistant Enterobacteriacae (CRE). Carbapenem resistant Pseudomonas (CRPA) and Carbapenem resistant Acinetobacter (CRAB) have been identified by WHO as the priority pathogens for which new antibiotics are needed very soon. </w:t>
      </w:r>
      <w:r w:rsidR="00323199" w:rsidRPr="007362EE">
        <w:rPr>
          <w:rFonts w:eastAsia="Gulim" w:cs="Arial"/>
          <w:spacing w:val="-5"/>
          <w:w w:val="95"/>
          <w:sz w:val="18"/>
          <w:szCs w:val="18"/>
          <w:shd w:val="clear" w:color="auto" w:fill="FFFFFF" w:themeFill="background1"/>
        </w:rPr>
        <w:t xml:space="preserve">Focus on new rapid diagnostics, increasing coverage of vaccines, strengthening the national/regional epidemiological surveillance networks, developing novel alternates to antibiotics and suggesting ‘out of the box’ new drug development and commercialisation models are some of the measures </w:t>
      </w:r>
      <w:r w:rsidR="00D0501D" w:rsidRPr="007362EE">
        <w:rPr>
          <w:rFonts w:eastAsia="Gulim" w:cs="Arial"/>
          <w:spacing w:val="-5"/>
          <w:w w:val="95"/>
          <w:sz w:val="18"/>
          <w:szCs w:val="18"/>
          <w:shd w:val="clear" w:color="auto" w:fill="FFFFFF" w:themeFill="background1"/>
        </w:rPr>
        <w:t xml:space="preserve">proposed to counter AMR. </w:t>
      </w:r>
      <w:r w:rsidR="00300852" w:rsidRPr="007362EE">
        <w:rPr>
          <w:rFonts w:eastAsia="Gulim" w:cs="Arial"/>
          <w:spacing w:val="-5"/>
          <w:w w:val="95"/>
          <w:sz w:val="18"/>
          <w:szCs w:val="18"/>
          <w:shd w:val="clear" w:color="auto" w:fill="FFFFFF" w:themeFill="background1"/>
        </w:rPr>
        <w:t>The GAIN (Generating Antibiotic Incentives Now) Act - 2012, the PATH (Promise for Antibiotics and Therapeutics for Health) Act-2015 in US and ND4BB (new Drugs for Bad Bugs) 2013 by European Union are some of the well-known large initiatives taken to incentivise new antibiotic discovery</w:t>
      </w:r>
      <w:r w:rsidR="00300852" w:rsidRPr="007362EE">
        <w:rPr>
          <w:rFonts w:eastAsia="Gulim" w:cs="Arial"/>
          <w:spacing w:val="-5"/>
          <w:w w:val="95"/>
          <w:sz w:val="18"/>
          <w:szCs w:val="18"/>
          <w:shd w:val="clear" w:color="auto" w:fill="FFFFFF" w:themeFill="background1"/>
        </w:rPr>
        <w:t xml:space="preserve">.  </w:t>
      </w:r>
      <w:r w:rsidR="00323199" w:rsidRPr="007362EE">
        <w:rPr>
          <w:rFonts w:eastAsia="Gulim" w:cs="Arial"/>
          <w:spacing w:val="-5"/>
          <w:w w:val="95"/>
          <w:sz w:val="18"/>
          <w:szCs w:val="18"/>
          <w:shd w:val="clear" w:color="auto" w:fill="FFFFFF" w:themeFill="background1"/>
        </w:rPr>
        <w:t xml:space="preserve">Pharmaceutical industry </w:t>
      </w:r>
      <w:r w:rsidR="006B5DC1" w:rsidRPr="007362EE">
        <w:rPr>
          <w:rFonts w:eastAsia="Gulim" w:cs="Arial"/>
          <w:spacing w:val="-5"/>
          <w:w w:val="95"/>
          <w:sz w:val="18"/>
          <w:szCs w:val="18"/>
          <w:shd w:val="clear" w:color="auto" w:fill="FFFFFF" w:themeFill="background1"/>
        </w:rPr>
        <w:t xml:space="preserve">  </w:t>
      </w:r>
      <w:r w:rsidR="00323199" w:rsidRPr="007362EE">
        <w:rPr>
          <w:rFonts w:eastAsia="Gulim" w:cs="Arial"/>
          <w:spacing w:val="-5"/>
          <w:w w:val="95"/>
          <w:sz w:val="18"/>
          <w:szCs w:val="18"/>
          <w:shd w:val="clear" w:color="auto" w:fill="FFFFFF" w:themeFill="background1"/>
        </w:rPr>
        <w:t xml:space="preserve">has also risen up to the challenge and the pipeline for breakthrough antibiotics targeted against critical gram negative pathogens is beginning to build up. </w:t>
      </w:r>
      <w:r w:rsidR="00D0501D" w:rsidRPr="007362EE">
        <w:rPr>
          <w:rFonts w:eastAsia="Gulim" w:cs="Arial"/>
          <w:spacing w:val="-5"/>
          <w:w w:val="95"/>
          <w:sz w:val="18"/>
          <w:szCs w:val="18"/>
          <w:shd w:val="clear" w:color="auto" w:fill="FFFFFF" w:themeFill="background1"/>
        </w:rPr>
        <w:t xml:space="preserve">Antimicrobial Stewardship (AMS) programs to optimise the clinical outcomes and minimise the unintended consequences of antibiotic use are being advocated at both hospital and community setting. All these measures plus increasing awareness and education on rational use of antibiotics raises hopes that there is light at the end of the tunnel, however if these efforts are not sustained and strictly enforced then this light at the end of the tunnel could be of an incoming train. </w:t>
      </w:r>
    </w:p>
    <w:p w14:paraId="569C37EA" w14:textId="4FDB662F" w:rsidR="006B5DC1" w:rsidRPr="006B5DC1" w:rsidRDefault="006B5DC1">
      <w:pPr>
        <w:rPr>
          <w:rFonts w:eastAsia="Gulim" w:cs="Arial"/>
          <w:b/>
          <w:spacing w:val="-5"/>
          <w:w w:val="95"/>
          <w:shd w:val="clear" w:color="auto" w:fill="FFFFFF" w:themeFill="background1"/>
        </w:rPr>
      </w:pPr>
      <w:r w:rsidRPr="006B5DC1">
        <w:rPr>
          <w:rFonts w:eastAsia="Gulim" w:cs="Arial"/>
          <w:b/>
          <w:spacing w:val="-5"/>
          <w:w w:val="95"/>
          <w:shd w:val="clear" w:color="auto" w:fill="FFFFFF" w:themeFill="background1"/>
        </w:rPr>
        <w:t>Images</w:t>
      </w:r>
      <w:r>
        <w:rPr>
          <w:rFonts w:eastAsia="Gulim" w:cs="Arial"/>
          <w:b/>
          <w:spacing w:val="-5"/>
          <w:w w:val="95"/>
          <w:shd w:val="clear" w:color="auto" w:fill="FFFFFF" w:themeFill="background1"/>
        </w:rPr>
        <w:t>:</w:t>
      </w:r>
    </w:p>
    <w:p w14:paraId="767CFB8E" w14:textId="77777777" w:rsidR="006B5DC1" w:rsidRDefault="006B5DC1">
      <w:pPr>
        <w:rPr>
          <w:rFonts w:eastAsia="Gulim" w:cs="Arial"/>
          <w:spacing w:val="-5"/>
          <w:w w:val="95"/>
          <w:shd w:val="clear" w:color="auto" w:fill="FFFFFF" w:themeFill="background1"/>
        </w:rPr>
      </w:pPr>
      <w:r w:rsidRPr="006B5DC1">
        <w:rPr>
          <w:rFonts w:eastAsia="Gulim" w:cs="Arial"/>
          <w:spacing w:val="-5"/>
          <w:w w:val="95"/>
          <w:shd w:val="clear" w:color="auto" w:fill="FFFFFF" w:themeFill="background1"/>
        </w:rPr>
        <w:drawing>
          <wp:inline distT="0" distB="0" distL="0" distR="0" wp14:anchorId="4F036781" wp14:editId="7AF0D3AC">
            <wp:extent cx="2491740" cy="1790451"/>
            <wp:effectExtent l="0" t="0" r="381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2508377" cy="1802406"/>
                    </a:xfrm>
                    <a:prstGeom prst="rect">
                      <a:avLst/>
                    </a:prstGeom>
                  </pic:spPr>
                </pic:pic>
              </a:graphicData>
            </a:graphic>
          </wp:inline>
        </w:drawing>
      </w:r>
    </w:p>
    <w:p w14:paraId="18235ECB" w14:textId="3506554E" w:rsidR="006B5DC1" w:rsidRDefault="006B5DC1">
      <w:pPr>
        <w:rPr>
          <w:rFonts w:eastAsia="Gulim" w:cs="Arial"/>
          <w:spacing w:val="-5"/>
          <w:w w:val="95"/>
          <w:shd w:val="clear" w:color="auto" w:fill="FFFFFF" w:themeFill="background1"/>
        </w:rPr>
      </w:pPr>
    </w:p>
    <w:p w14:paraId="047AC3C8" w14:textId="051DE87D" w:rsidR="006B5DC1" w:rsidRDefault="006B5DC1">
      <w:pPr>
        <w:rPr>
          <w:rFonts w:eastAsia="Gulim" w:cs="Arial"/>
          <w:spacing w:val="-5"/>
          <w:w w:val="95"/>
          <w:shd w:val="clear" w:color="auto" w:fill="FFFFFF" w:themeFill="background1"/>
        </w:rPr>
      </w:pPr>
      <w:r w:rsidRPr="006B5DC1">
        <w:rPr>
          <w:rFonts w:eastAsia="Gulim" w:cs="Arial"/>
          <w:spacing w:val="-5"/>
          <w:w w:val="95"/>
          <w:shd w:val="clear" w:color="auto" w:fill="FFFFFF" w:themeFill="background1"/>
        </w:rPr>
        <w:drawing>
          <wp:inline distT="0" distB="0" distL="0" distR="0" wp14:anchorId="676CC951" wp14:editId="47F55A1A">
            <wp:extent cx="2903220" cy="1996163"/>
            <wp:effectExtent l="0" t="0" r="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924467" cy="2010772"/>
                    </a:xfrm>
                    <a:prstGeom prst="rect">
                      <a:avLst/>
                    </a:prstGeom>
                  </pic:spPr>
                </pic:pic>
              </a:graphicData>
            </a:graphic>
          </wp:inline>
        </w:drawing>
      </w:r>
    </w:p>
    <w:p w14:paraId="168BD288" w14:textId="5677EB23" w:rsidR="006B5DC1" w:rsidRDefault="006B5DC1">
      <w:pPr>
        <w:rPr>
          <w:rFonts w:eastAsia="Gulim" w:cs="Arial"/>
          <w:b/>
          <w:spacing w:val="-5"/>
          <w:w w:val="95"/>
          <w:shd w:val="clear" w:color="auto" w:fill="FFFFFF" w:themeFill="background1"/>
        </w:rPr>
      </w:pPr>
      <w:r w:rsidRPr="006B5DC1">
        <w:rPr>
          <w:rFonts w:eastAsia="Gulim" w:cs="Arial"/>
          <w:b/>
          <w:spacing w:val="-5"/>
          <w:w w:val="95"/>
          <w:shd w:val="clear" w:color="auto" w:fill="FFFFFF" w:themeFill="background1"/>
        </w:rPr>
        <w:t>Recent Publications:</w:t>
      </w:r>
    </w:p>
    <w:p w14:paraId="51847648" w14:textId="1B492BD7" w:rsidR="006B5DC1" w:rsidRPr="008C29D8" w:rsidRDefault="006B5DC1" w:rsidP="006B5DC1">
      <w:pPr>
        <w:pStyle w:val="ListParagraph"/>
        <w:numPr>
          <w:ilvl w:val="0"/>
          <w:numId w:val="1"/>
        </w:numPr>
        <w:rPr>
          <w:rFonts w:eastAsia="Gulim" w:cs="Arial"/>
          <w:spacing w:val="-5"/>
          <w:w w:val="95"/>
          <w:sz w:val="16"/>
          <w:szCs w:val="16"/>
          <w:shd w:val="clear" w:color="auto" w:fill="FFFFFF" w:themeFill="background1"/>
        </w:rPr>
      </w:pPr>
      <w:r w:rsidRPr="008C29D8">
        <w:rPr>
          <w:rFonts w:eastAsia="Gulim" w:cs="Arial"/>
          <w:spacing w:val="-5"/>
          <w:w w:val="95"/>
          <w:sz w:val="16"/>
          <w:szCs w:val="16"/>
          <w:shd w:val="clear" w:color="auto" w:fill="FFFFFF" w:themeFill="background1"/>
        </w:rPr>
        <w:t>The World State of Antibiotics 2015  by CDDEP (Centre for Disease Dynamics, Economics &amp; Policy)</w:t>
      </w:r>
    </w:p>
    <w:p w14:paraId="1153887D" w14:textId="7D96131E" w:rsidR="006B5DC1" w:rsidRPr="008C29D8" w:rsidRDefault="006B5DC1" w:rsidP="006B5DC1">
      <w:pPr>
        <w:pStyle w:val="ListParagraph"/>
        <w:numPr>
          <w:ilvl w:val="0"/>
          <w:numId w:val="1"/>
        </w:numPr>
        <w:rPr>
          <w:rFonts w:eastAsia="Gulim" w:cs="Arial"/>
          <w:spacing w:val="-5"/>
          <w:w w:val="95"/>
          <w:sz w:val="16"/>
          <w:szCs w:val="16"/>
          <w:shd w:val="clear" w:color="auto" w:fill="FFFFFF" w:themeFill="background1"/>
        </w:rPr>
      </w:pPr>
      <w:r w:rsidRPr="008C29D8">
        <w:rPr>
          <w:rFonts w:eastAsia="Gulim" w:cs="Arial"/>
          <w:spacing w:val="-5"/>
          <w:w w:val="95"/>
          <w:sz w:val="16"/>
          <w:szCs w:val="16"/>
          <w:shd w:val="clear" w:color="auto" w:fill="FFFFFF" w:themeFill="background1"/>
        </w:rPr>
        <w:t>The Review on Antimicrobial Resistance, Jan 2016 by Jim O’Neill</w:t>
      </w:r>
    </w:p>
    <w:p w14:paraId="5D4D5845" w14:textId="77777777" w:rsidR="008C29D8" w:rsidRPr="008C29D8" w:rsidRDefault="006B5DC1" w:rsidP="008C29D8">
      <w:pPr>
        <w:pStyle w:val="ListParagraph"/>
        <w:numPr>
          <w:ilvl w:val="0"/>
          <w:numId w:val="1"/>
        </w:numPr>
        <w:rPr>
          <w:rFonts w:eastAsia="Gulim" w:cs="Arial"/>
          <w:spacing w:val="-5"/>
          <w:w w:val="95"/>
          <w:sz w:val="16"/>
          <w:szCs w:val="16"/>
          <w:shd w:val="clear" w:color="auto" w:fill="FFFFFF" w:themeFill="background1"/>
        </w:rPr>
      </w:pPr>
      <w:r w:rsidRPr="008C29D8">
        <w:rPr>
          <w:rFonts w:eastAsia="Gulim" w:cs="Arial"/>
          <w:spacing w:val="-5"/>
          <w:w w:val="95"/>
          <w:sz w:val="16"/>
          <w:szCs w:val="16"/>
          <w:shd w:val="clear" w:color="auto" w:fill="FFFFFF" w:themeFill="background1"/>
        </w:rPr>
        <w:t xml:space="preserve">WHO Report 2017 on Prioritisation of pathogens to guide discovery, research and development of new antibiotics for drug-resistant infections bacterial infections including Tuberculosis. </w:t>
      </w:r>
    </w:p>
    <w:p w14:paraId="1A600631" w14:textId="77777777" w:rsidR="008C29D8" w:rsidRPr="008C29D8" w:rsidRDefault="008C29D8" w:rsidP="008C29D8">
      <w:pPr>
        <w:pStyle w:val="ListParagraph"/>
        <w:numPr>
          <w:ilvl w:val="0"/>
          <w:numId w:val="1"/>
        </w:numPr>
        <w:rPr>
          <w:rFonts w:eastAsia="Gulim" w:cs="Arial"/>
          <w:spacing w:val="-5"/>
          <w:w w:val="95"/>
          <w:sz w:val="16"/>
          <w:szCs w:val="16"/>
          <w:shd w:val="clear" w:color="auto" w:fill="FFFFFF" w:themeFill="background1"/>
        </w:rPr>
      </w:pPr>
      <w:proofErr w:type="spellStart"/>
      <w:r w:rsidRPr="008C29D8">
        <w:rPr>
          <w:rFonts w:cs="MyriadPro-It"/>
          <w:i/>
          <w:iCs/>
          <w:sz w:val="16"/>
          <w:szCs w:val="16"/>
          <w:lang w:val="en-US"/>
        </w:rPr>
        <w:t>Bassetti</w:t>
      </w:r>
      <w:proofErr w:type="spellEnd"/>
      <w:r w:rsidRPr="008C29D8">
        <w:rPr>
          <w:rFonts w:cs="MyriadPro-It"/>
          <w:i/>
          <w:iCs/>
          <w:sz w:val="16"/>
          <w:szCs w:val="16"/>
          <w:lang w:val="en-US"/>
        </w:rPr>
        <w:t xml:space="preserve"> M </w:t>
      </w:r>
      <w:proofErr w:type="spellStart"/>
      <w:r w:rsidRPr="008C29D8">
        <w:rPr>
          <w:rFonts w:cs="MyriadPro-It"/>
          <w:i/>
          <w:iCs/>
          <w:sz w:val="16"/>
          <w:szCs w:val="16"/>
          <w:lang w:val="en-US"/>
        </w:rPr>
        <w:t>etal</w:t>
      </w:r>
      <w:proofErr w:type="spellEnd"/>
      <w:r w:rsidRPr="008C29D8">
        <w:rPr>
          <w:rFonts w:cs="MyriadPro-It"/>
          <w:i/>
          <w:iCs/>
          <w:sz w:val="16"/>
          <w:szCs w:val="16"/>
          <w:lang w:val="en-US"/>
        </w:rPr>
        <w:t xml:space="preserve">. </w:t>
      </w:r>
      <w:r w:rsidRPr="008C29D8">
        <w:rPr>
          <w:rFonts w:cs="MyriadPro-Regular"/>
          <w:sz w:val="16"/>
          <w:szCs w:val="16"/>
          <w:lang w:val="en-US"/>
        </w:rPr>
        <w:t>Antimicrobial resistance in the</w:t>
      </w:r>
      <w:r w:rsidRPr="008C29D8">
        <w:rPr>
          <w:rFonts w:cs="MyriadPro-Regular"/>
          <w:sz w:val="16"/>
          <w:szCs w:val="16"/>
          <w:lang w:val="en-US"/>
        </w:rPr>
        <w:t xml:space="preserve"> </w:t>
      </w:r>
      <w:r w:rsidRPr="008C29D8">
        <w:rPr>
          <w:rFonts w:cs="MyriadPro-Regular"/>
          <w:sz w:val="16"/>
          <w:szCs w:val="16"/>
          <w:lang w:val="en-US"/>
        </w:rPr>
        <w:t>next 30 years, humankind, bugs and drugs: a</w:t>
      </w:r>
      <w:r w:rsidRPr="008C29D8">
        <w:rPr>
          <w:rFonts w:cs="MyriadPro-Regular"/>
          <w:sz w:val="16"/>
          <w:szCs w:val="16"/>
          <w:lang w:val="en-US"/>
        </w:rPr>
        <w:t xml:space="preserve"> </w:t>
      </w:r>
      <w:r w:rsidRPr="008C29D8">
        <w:rPr>
          <w:rFonts w:cs="MyriadPro-Regular"/>
          <w:sz w:val="16"/>
          <w:szCs w:val="16"/>
          <w:lang w:val="en-US"/>
        </w:rPr>
        <w:t>visionary approach</w:t>
      </w:r>
      <w:r w:rsidRPr="008C29D8">
        <w:rPr>
          <w:rFonts w:cs="MyriadPro-Regular"/>
          <w:sz w:val="16"/>
          <w:szCs w:val="16"/>
          <w:lang w:val="en-US"/>
        </w:rPr>
        <w:t xml:space="preserve">. </w:t>
      </w:r>
      <w:r w:rsidRPr="008C29D8">
        <w:rPr>
          <w:rFonts w:cs="MyriadPro-It"/>
          <w:i/>
          <w:iCs/>
          <w:sz w:val="16"/>
          <w:szCs w:val="16"/>
          <w:lang w:val="en-US"/>
        </w:rPr>
        <w:t>Intensive Care Med (2017) 43:1464–1475</w:t>
      </w:r>
    </w:p>
    <w:p w14:paraId="2A383158" w14:textId="70C534CA" w:rsidR="008C29D8" w:rsidRPr="008C29D8" w:rsidRDefault="008C29D8" w:rsidP="008C29D8">
      <w:pPr>
        <w:pStyle w:val="ListParagraph"/>
        <w:numPr>
          <w:ilvl w:val="0"/>
          <w:numId w:val="1"/>
        </w:numPr>
        <w:rPr>
          <w:rFonts w:eastAsia="Gulim" w:cs="Arial"/>
          <w:spacing w:val="-5"/>
          <w:w w:val="95"/>
          <w:sz w:val="16"/>
          <w:szCs w:val="16"/>
          <w:shd w:val="clear" w:color="auto" w:fill="FFFFFF" w:themeFill="background1"/>
        </w:rPr>
      </w:pPr>
      <w:r w:rsidRPr="008C29D8">
        <w:rPr>
          <w:rFonts w:cs="MyriadPro-It"/>
          <w:i/>
          <w:iCs/>
          <w:sz w:val="16"/>
          <w:szCs w:val="16"/>
          <w:lang w:val="en-US"/>
        </w:rPr>
        <w:t xml:space="preserve">Boucher </w:t>
      </w:r>
      <w:proofErr w:type="gramStart"/>
      <w:r w:rsidRPr="008C29D8">
        <w:rPr>
          <w:rFonts w:cs="MyriadPro-It"/>
          <w:i/>
          <w:iCs/>
          <w:sz w:val="16"/>
          <w:szCs w:val="16"/>
          <w:lang w:val="en-US"/>
        </w:rPr>
        <w:t xml:space="preserve">WH  </w:t>
      </w:r>
      <w:proofErr w:type="spellStart"/>
      <w:r w:rsidRPr="008C29D8">
        <w:rPr>
          <w:rFonts w:cs="MyriadPro-It"/>
          <w:i/>
          <w:iCs/>
          <w:sz w:val="16"/>
          <w:szCs w:val="16"/>
          <w:lang w:val="en-US"/>
        </w:rPr>
        <w:t>etal</w:t>
      </w:r>
      <w:proofErr w:type="spellEnd"/>
      <w:proofErr w:type="gramEnd"/>
      <w:r w:rsidRPr="008C29D8">
        <w:rPr>
          <w:rFonts w:cs="MyriadPro-It"/>
          <w:i/>
          <w:iCs/>
          <w:sz w:val="16"/>
          <w:szCs w:val="16"/>
          <w:lang w:val="en-US"/>
        </w:rPr>
        <w:t xml:space="preserve">. </w:t>
      </w:r>
      <w:r w:rsidRPr="008C29D8">
        <w:rPr>
          <w:rFonts w:cs="AdvOT1ef757c0"/>
          <w:sz w:val="16"/>
          <w:szCs w:val="16"/>
          <w:lang w:val="en-US"/>
        </w:rPr>
        <w:t xml:space="preserve">10 × </w:t>
      </w:r>
      <w:r w:rsidRPr="008C29D8">
        <w:rPr>
          <w:rFonts w:cs="AdvOT1ef757c0+20"/>
          <w:sz w:val="16"/>
          <w:szCs w:val="16"/>
          <w:lang w:val="en-US"/>
        </w:rPr>
        <w:t>’</w:t>
      </w:r>
      <w:r w:rsidRPr="008C29D8">
        <w:rPr>
          <w:rFonts w:cs="AdvOT1ef757c0"/>
          <w:sz w:val="16"/>
          <w:szCs w:val="16"/>
          <w:lang w:val="en-US"/>
        </w:rPr>
        <w:t>20 Progress</w:t>
      </w:r>
      <w:r w:rsidRPr="008C29D8">
        <w:rPr>
          <w:rFonts w:cs="AdvOT1ef757c0+20"/>
          <w:sz w:val="16"/>
          <w:szCs w:val="16"/>
          <w:lang w:val="en-US"/>
        </w:rPr>
        <w:t>—</w:t>
      </w:r>
      <w:r w:rsidRPr="008C29D8">
        <w:rPr>
          <w:rFonts w:cs="AdvOT1ef757c0"/>
          <w:sz w:val="16"/>
          <w:szCs w:val="16"/>
          <w:lang w:val="en-US"/>
        </w:rPr>
        <w:t>Development of New Drugs</w:t>
      </w:r>
      <w:r w:rsidRPr="008C29D8">
        <w:rPr>
          <w:rFonts w:cs="AdvOT1ef757c0"/>
          <w:sz w:val="16"/>
          <w:szCs w:val="16"/>
          <w:lang w:val="en-US"/>
        </w:rPr>
        <w:t xml:space="preserve"> </w:t>
      </w:r>
      <w:r w:rsidRPr="008C29D8">
        <w:rPr>
          <w:rFonts w:cs="AdvOT1ef757c0"/>
          <w:sz w:val="16"/>
          <w:szCs w:val="16"/>
          <w:lang w:val="en-US"/>
        </w:rPr>
        <w:t>Active Against Gram-Negative Bacilli: An</w:t>
      </w:r>
      <w:r w:rsidRPr="008C29D8">
        <w:rPr>
          <w:rFonts w:cs="AdvOT1ef757c0"/>
          <w:sz w:val="16"/>
          <w:szCs w:val="16"/>
          <w:lang w:val="en-US"/>
        </w:rPr>
        <w:t xml:space="preserve"> </w:t>
      </w:r>
      <w:r w:rsidRPr="008C29D8">
        <w:rPr>
          <w:rFonts w:cs="AdvOT1ef757c0"/>
          <w:sz w:val="16"/>
          <w:szCs w:val="16"/>
          <w:lang w:val="en-US"/>
        </w:rPr>
        <w:t>Update From the Infectious Diseases Society of</w:t>
      </w:r>
    </w:p>
    <w:p w14:paraId="00CE11EE" w14:textId="6F729D01" w:rsidR="008C29D8" w:rsidRDefault="008C29D8" w:rsidP="008C29D8">
      <w:pPr>
        <w:pStyle w:val="ListParagraph"/>
        <w:rPr>
          <w:rFonts w:cs="AdvOT0a81dd96.B"/>
          <w:sz w:val="16"/>
          <w:szCs w:val="16"/>
          <w:lang w:val="en-US"/>
        </w:rPr>
      </w:pPr>
      <w:r w:rsidRPr="008C29D8">
        <w:rPr>
          <w:rFonts w:cs="AdvOT1ef757c0"/>
          <w:sz w:val="16"/>
          <w:szCs w:val="16"/>
          <w:lang w:val="en-US"/>
        </w:rPr>
        <w:t>America</w:t>
      </w:r>
      <w:r w:rsidRPr="008C29D8">
        <w:rPr>
          <w:rFonts w:cs="AdvOT1ef757c0"/>
          <w:sz w:val="16"/>
          <w:szCs w:val="16"/>
          <w:lang w:val="en-US"/>
        </w:rPr>
        <w:t xml:space="preserve">. </w:t>
      </w:r>
      <w:r w:rsidRPr="008C29D8">
        <w:rPr>
          <w:rFonts w:cs="AdvOT0a81dd96.B"/>
          <w:sz w:val="16"/>
          <w:szCs w:val="16"/>
          <w:lang w:val="en-US"/>
        </w:rPr>
        <w:t>Clinical Infectious Diseases 2013</w:t>
      </w:r>
      <w:proofErr w:type="gramStart"/>
      <w:r w:rsidRPr="008C29D8">
        <w:rPr>
          <w:rFonts w:cs="AdvOT0a81dd96.B"/>
          <w:sz w:val="16"/>
          <w:szCs w:val="16"/>
          <w:lang w:val="en-US"/>
        </w:rPr>
        <w:t>;56</w:t>
      </w:r>
      <w:proofErr w:type="gramEnd"/>
      <w:r w:rsidRPr="008C29D8">
        <w:rPr>
          <w:rFonts w:cs="AdvOT0a81dd96.B"/>
          <w:sz w:val="16"/>
          <w:szCs w:val="16"/>
          <w:lang w:val="en-US"/>
        </w:rPr>
        <w:t>(12):1685</w:t>
      </w:r>
      <w:r w:rsidRPr="008C29D8">
        <w:rPr>
          <w:rFonts w:cs="AdvOT0a81dd96.B+20"/>
          <w:sz w:val="16"/>
          <w:szCs w:val="16"/>
          <w:lang w:val="en-US"/>
        </w:rPr>
        <w:t>–</w:t>
      </w:r>
      <w:r w:rsidRPr="008C29D8">
        <w:rPr>
          <w:rFonts w:cs="AdvOT0a81dd96.B"/>
          <w:sz w:val="16"/>
          <w:szCs w:val="16"/>
          <w:lang w:val="en-US"/>
        </w:rPr>
        <w:t>94</w:t>
      </w:r>
    </w:p>
    <w:p w14:paraId="462277E6" w14:textId="76513B47" w:rsidR="007362EE" w:rsidRDefault="003E1AB9" w:rsidP="003E1AB9">
      <w:pPr>
        <w:rPr>
          <w:rFonts w:eastAsia="Gulim" w:cs="Arial"/>
          <w:spacing w:val="-5"/>
          <w:w w:val="95"/>
          <w:sz w:val="16"/>
          <w:szCs w:val="16"/>
          <w:shd w:val="clear" w:color="auto" w:fill="FFFFFF" w:themeFill="background1"/>
        </w:rPr>
      </w:pPr>
      <w:r w:rsidRPr="003E1AB9">
        <w:rPr>
          <w:rFonts w:eastAsia="Gulim" w:cs="Arial"/>
          <w:b/>
          <w:spacing w:val="-5"/>
          <w:w w:val="95"/>
          <w:szCs w:val="16"/>
          <w:shd w:val="clear" w:color="auto" w:fill="FFFFFF" w:themeFill="background1"/>
        </w:rPr>
        <w:t>Biography</w:t>
      </w:r>
      <w:r>
        <w:rPr>
          <w:rFonts w:eastAsia="Gulim" w:cs="Arial"/>
          <w:b/>
          <w:spacing w:val="-5"/>
          <w:w w:val="95"/>
          <w:szCs w:val="16"/>
          <w:shd w:val="clear" w:color="auto" w:fill="FFFFFF" w:themeFill="background1"/>
        </w:rPr>
        <w:t xml:space="preserve">: </w:t>
      </w:r>
      <w:r w:rsidR="007362EE">
        <w:rPr>
          <w:noProof/>
          <w:lang w:val="en-US"/>
        </w:rPr>
        <w:drawing>
          <wp:inline distT="0" distB="0" distL="0" distR="0" wp14:anchorId="7A610F35" wp14:editId="1C2845A8">
            <wp:extent cx="1295400" cy="1173480"/>
            <wp:effectExtent l="0" t="0" r="0" b="7620"/>
            <wp:docPr id="5" name="Picture 2" descr="C:\Users\guptanku\Pictures\FullSizeRender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 descr="C:\Users\guptanku\Pictures\FullSizeRender 1.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95400" cy="1173480"/>
                    </a:xfrm>
                    <a:prstGeom prst="rect">
                      <a:avLst/>
                    </a:prstGeom>
                    <a:noFill/>
                    <a:extLst/>
                  </pic:spPr>
                </pic:pic>
              </a:graphicData>
            </a:graphic>
          </wp:inline>
        </w:drawing>
      </w:r>
    </w:p>
    <w:p w14:paraId="156613D0" w14:textId="4AA7AE1C" w:rsidR="003E1AB9" w:rsidRPr="003E1AB9" w:rsidRDefault="007362EE" w:rsidP="003E1AB9">
      <w:pPr>
        <w:rPr>
          <w:rFonts w:eastAsia="Gulim" w:cs="Arial"/>
          <w:b/>
          <w:spacing w:val="-5"/>
          <w:w w:val="95"/>
          <w:szCs w:val="16"/>
          <w:shd w:val="clear" w:color="auto" w:fill="FFFFFF" w:themeFill="background1"/>
        </w:rPr>
      </w:pPr>
      <w:r>
        <w:rPr>
          <w:rFonts w:eastAsia="Gulim" w:cs="Arial"/>
          <w:spacing w:val="-5"/>
          <w:w w:val="95"/>
          <w:sz w:val="16"/>
          <w:szCs w:val="16"/>
          <w:shd w:val="clear" w:color="auto" w:fill="FFFFFF" w:themeFill="background1"/>
        </w:rPr>
        <w:t>D</w:t>
      </w:r>
      <w:r w:rsidR="003E1AB9" w:rsidRPr="003E1AB9">
        <w:rPr>
          <w:rFonts w:eastAsia="Gulim" w:cs="Arial"/>
          <w:spacing w:val="-5"/>
          <w:w w:val="95"/>
          <w:sz w:val="16"/>
          <w:szCs w:val="16"/>
          <w:shd w:val="clear" w:color="auto" w:fill="FFFFFF" w:themeFill="background1"/>
        </w:rPr>
        <w:t>r Ankur Gupta is</w:t>
      </w:r>
      <w:r w:rsidR="003E1AB9" w:rsidRPr="003E1AB9">
        <w:rPr>
          <w:rFonts w:eastAsia="Gulim" w:cs="Arial"/>
          <w:b/>
          <w:spacing w:val="-5"/>
          <w:w w:val="95"/>
          <w:sz w:val="16"/>
          <w:szCs w:val="16"/>
          <w:shd w:val="clear" w:color="auto" w:fill="FFFFFF" w:themeFill="background1"/>
        </w:rPr>
        <w:t xml:space="preserve"> </w:t>
      </w:r>
      <w:r w:rsidR="003E1AB9" w:rsidRPr="003E1AB9">
        <w:rPr>
          <w:rFonts w:eastAsiaTheme="minorEastAsia" w:hAnsi="Calibri"/>
          <w:color w:val="000000" w:themeColor="text1"/>
          <w:kern w:val="24"/>
          <w:sz w:val="16"/>
          <w:szCs w:val="16"/>
          <w:lang w:val="en-US"/>
        </w:rPr>
        <w:t xml:space="preserve">Physician and Clinical Pharmacologist </w:t>
      </w:r>
      <w:r w:rsidR="003E1AB9">
        <w:rPr>
          <w:rFonts w:eastAsiaTheme="minorEastAsia" w:hAnsi="Calibri"/>
          <w:color w:val="000000" w:themeColor="text1"/>
          <w:kern w:val="24"/>
          <w:sz w:val="16"/>
          <w:szCs w:val="16"/>
          <w:lang w:val="en-US"/>
        </w:rPr>
        <w:t xml:space="preserve">working with </w:t>
      </w:r>
      <w:proofErr w:type="spellStart"/>
      <w:r w:rsidR="003E1AB9">
        <w:rPr>
          <w:rFonts w:eastAsiaTheme="minorEastAsia" w:hAnsi="Calibri"/>
          <w:color w:val="000000" w:themeColor="text1"/>
          <w:kern w:val="24"/>
          <w:sz w:val="16"/>
          <w:szCs w:val="16"/>
          <w:lang w:val="en-US"/>
        </w:rPr>
        <w:t>A.Menarini</w:t>
      </w:r>
      <w:proofErr w:type="spellEnd"/>
      <w:r w:rsidR="003E1AB9">
        <w:rPr>
          <w:rFonts w:eastAsiaTheme="minorEastAsia" w:hAnsi="Calibri"/>
          <w:color w:val="000000" w:themeColor="text1"/>
          <w:kern w:val="24"/>
          <w:sz w:val="16"/>
          <w:szCs w:val="16"/>
          <w:lang w:val="en-US"/>
        </w:rPr>
        <w:t xml:space="preserve"> Asia Pacific in Singapore. He has 11+ years of</w:t>
      </w:r>
      <w:r w:rsidR="003E1AB9" w:rsidRPr="003E1AB9">
        <w:rPr>
          <w:rFonts w:eastAsiaTheme="minorEastAsia" w:hAnsi="Calibri"/>
          <w:color w:val="000000" w:themeColor="text1"/>
          <w:kern w:val="24"/>
          <w:sz w:val="16"/>
          <w:szCs w:val="16"/>
          <w:lang w:val="en-US"/>
        </w:rPr>
        <w:t xml:space="preserve"> experience on AMR and Antimicrobial Stewardship in Asia Pacific Region and Emerging markets (Russia, Latin America, </w:t>
      </w:r>
      <w:proofErr w:type="gramStart"/>
      <w:r w:rsidR="003E1AB9" w:rsidRPr="003E1AB9">
        <w:rPr>
          <w:rFonts w:eastAsiaTheme="minorEastAsia" w:hAnsi="Calibri"/>
          <w:color w:val="000000" w:themeColor="text1"/>
          <w:kern w:val="24"/>
          <w:sz w:val="16"/>
          <w:szCs w:val="16"/>
          <w:lang w:val="en-US"/>
        </w:rPr>
        <w:t>S</w:t>
      </w:r>
      <w:proofErr w:type="gramEnd"/>
      <w:r w:rsidR="003E1AB9" w:rsidRPr="003E1AB9">
        <w:rPr>
          <w:rFonts w:eastAsiaTheme="minorEastAsia" w:hAnsi="Calibri"/>
          <w:color w:val="000000" w:themeColor="text1"/>
          <w:kern w:val="24"/>
          <w:sz w:val="16"/>
          <w:szCs w:val="16"/>
          <w:lang w:val="en-US"/>
        </w:rPr>
        <w:t xml:space="preserve"> Africa)</w:t>
      </w:r>
      <w:r w:rsidR="003E1AB9">
        <w:rPr>
          <w:rFonts w:eastAsia="Gulim" w:cs="Arial"/>
          <w:b/>
          <w:spacing w:val="-5"/>
          <w:w w:val="95"/>
          <w:szCs w:val="16"/>
          <w:shd w:val="clear" w:color="auto" w:fill="FFFFFF" w:themeFill="background1"/>
        </w:rPr>
        <w:t xml:space="preserve">. </w:t>
      </w:r>
      <w:r w:rsidRPr="007362EE">
        <w:rPr>
          <w:rFonts w:eastAsia="Gulim" w:cs="Arial"/>
          <w:spacing w:val="-5"/>
          <w:w w:val="95"/>
          <w:sz w:val="18"/>
          <w:szCs w:val="16"/>
          <w:shd w:val="clear" w:color="auto" w:fill="FFFFFF" w:themeFill="background1"/>
        </w:rPr>
        <w:t>He</w:t>
      </w:r>
      <w:r>
        <w:rPr>
          <w:rFonts w:eastAsia="Gulim" w:cs="Arial"/>
          <w:b/>
          <w:spacing w:val="-5"/>
          <w:w w:val="95"/>
          <w:szCs w:val="16"/>
          <w:shd w:val="clear" w:color="auto" w:fill="FFFFFF" w:themeFill="background1"/>
        </w:rPr>
        <w:t xml:space="preserve"> </w:t>
      </w:r>
      <w:r>
        <w:rPr>
          <w:rFonts w:eastAsiaTheme="minorEastAsia" w:hAnsi="Calibri"/>
          <w:color w:val="000000" w:themeColor="text1"/>
          <w:kern w:val="24"/>
          <w:sz w:val="16"/>
          <w:szCs w:val="16"/>
          <w:lang w:val="en-US"/>
        </w:rPr>
        <w:t>d</w:t>
      </w:r>
      <w:r w:rsidRPr="003E1AB9">
        <w:rPr>
          <w:rFonts w:eastAsiaTheme="minorEastAsia" w:hAnsi="Calibri"/>
          <w:color w:val="000000" w:themeColor="text1"/>
          <w:kern w:val="24"/>
          <w:sz w:val="16"/>
          <w:szCs w:val="16"/>
          <w:lang w:val="en-US"/>
        </w:rPr>
        <w:t>eveloped the</w:t>
      </w:r>
      <w:r w:rsidR="003E1AB9" w:rsidRPr="003E1AB9">
        <w:rPr>
          <w:rFonts w:eastAsiaTheme="minorEastAsia" w:hAnsi="Calibri"/>
          <w:color w:val="000000" w:themeColor="text1"/>
          <w:kern w:val="24"/>
          <w:sz w:val="16"/>
          <w:szCs w:val="16"/>
          <w:lang w:val="en-US"/>
        </w:rPr>
        <w:t xml:space="preserve"> concept and helped in making implementation metrics </w:t>
      </w:r>
      <w:r w:rsidRPr="003E1AB9">
        <w:rPr>
          <w:rFonts w:eastAsiaTheme="minorEastAsia" w:hAnsi="Calibri"/>
          <w:color w:val="000000" w:themeColor="text1"/>
          <w:kern w:val="24"/>
          <w:sz w:val="16"/>
          <w:szCs w:val="16"/>
          <w:lang w:val="en-US"/>
        </w:rPr>
        <w:t>of Antimicrobial</w:t>
      </w:r>
      <w:r w:rsidR="003E1AB9" w:rsidRPr="003E1AB9">
        <w:rPr>
          <w:rFonts w:eastAsiaTheme="minorEastAsia" w:hAnsi="Calibri"/>
          <w:color w:val="000000" w:themeColor="text1"/>
          <w:kern w:val="24"/>
          <w:sz w:val="16"/>
          <w:szCs w:val="16"/>
          <w:lang w:val="en-US"/>
        </w:rPr>
        <w:t xml:space="preserve"> Stewardship (AMS) in many tertiar</w:t>
      </w:r>
      <w:r>
        <w:rPr>
          <w:rFonts w:eastAsiaTheme="minorEastAsia" w:hAnsi="Calibri"/>
          <w:color w:val="000000" w:themeColor="text1"/>
          <w:kern w:val="24"/>
          <w:sz w:val="16"/>
          <w:szCs w:val="16"/>
          <w:lang w:val="en-US"/>
        </w:rPr>
        <w:t>y care hospitals in India.  Has</w:t>
      </w:r>
      <w:r w:rsidR="003E1AB9" w:rsidRPr="003E1AB9">
        <w:rPr>
          <w:rFonts w:eastAsiaTheme="minorEastAsia" w:hAnsi="Calibri"/>
          <w:color w:val="000000" w:themeColor="text1"/>
          <w:kern w:val="24"/>
          <w:sz w:val="16"/>
          <w:szCs w:val="16"/>
          <w:lang w:val="en-US"/>
        </w:rPr>
        <w:t xml:space="preserve"> helped more than 100 tertiary care hospitals in India in making evidence based antimicrobial treatment protocols based on the concepts of</w:t>
      </w:r>
      <w:r>
        <w:rPr>
          <w:rFonts w:eastAsiaTheme="minorEastAsia" w:hAnsi="Calibri"/>
          <w:color w:val="000000" w:themeColor="text1"/>
          <w:kern w:val="24"/>
          <w:sz w:val="16"/>
          <w:szCs w:val="16"/>
          <w:lang w:val="en-US"/>
        </w:rPr>
        <w:t xml:space="preserve"> Antimicrobial Stewardship. Has</w:t>
      </w:r>
      <w:r w:rsidR="003E1AB9" w:rsidRPr="003E1AB9">
        <w:rPr>
          <w:rFonts w:eastAsiaTheme="minorEastAsia" w:hAnsi="Calibri"/>
          <w:color w:val="000000" w:themeColor="text1"/>
          <w:kern w:val="24"/>
          <w:sz w:val="16"/>
          <w:szCs w:val="16"/>
          <w:lang w:val="en-US"/>
        </w:rPr>
        <w:t xml:space="preserve"> trained medical </w:t>
      </w:r>
      <w:r w:rsidRPr="003E1AB9">
        <w:rPr>
          <w:rFonts w:eastAsiaTheme="minorEastAsia" w:hAnsi="Calibri"/>
          <w:color w:val="000000" w:themeColor="text1"/>
          <w:kern w:val="24"/>
          <w:sz w:val="16"/>
          <w:szCs w:val="16"/>
          <w:lang w:val="en-US"/>
        </w:rPr>
        <w:t>personnel in</w:t>
      </w:r>
      <w:r w:rsidR="003E1AB9" w:rsidRPr="003E1AB9">
        <w:rPr>
          <w:rFonts w:eastAsiaTheme="minorEastAsia" w:hAnsi="Calibri"/>
          <w:color w:val="000000" w:themeColor="text1"/>
          <w:kern w:val="24"/>
          <w:sz w:val="16"/>
          <w:szCs w:val="16"/>
          <w:lang w:val="en-US"/>
        </w:rPr>
        <w:t xml:space="preserve"> about 25 countries (Asia pacific region, Middle </w:t>
      </w:r>
      <w:proofErr w:type="gramStart"/>
      <w:r w:rsidR="003E1AB9" w:rsidRPr="003E1AB9">
        <w:rPr>
          <w:rFonts w:eastAsiaTheme="minorEastAsia" w:hAnsi="Calibri"/>
          <w:color w:val="000000" w:themeColor="text1"/>
          <w:kern w:val="24"/>
          <w:sz w:val="16"/>
          <w:szCs w:val="16"/>
          <w:lang w:val="en-US"/>
        </w:rPr>
        <w:t>east</w:t>
      </w:r>
      <w:proofErr w:type="gramEnd"/>
      <w:r w:rsidR="003E1AB9" w:rsidRPr="003E1AB9">
        <w:rPr>
          <w:rFonts w:eastAsiaTheme="minorEastAsia" w:hAnsi="Calibri"/>
          <w:color w:val="000000" w:themeColor="text1"/>
          <w:kern w:val="24"/>
          <w:sz w:val="16"/>
          <w:szCs w:val="16"/>
          <w:lang w:val="en-US"/>
        </w:rPr>
        <w:t xml:space="preserve"> and Sub-Saharan Africa) on the concept of Antimicrobial Stewardship.</w:t>
      </w:r>
      <w:r w:rsidR="003E1AB9">
        <w:rPr>
          <w:rFonts w:eastAsia="Gulim" w:cs="Arial"/>
          <w:b/>
          <w:spacing w:val="-5"/>
          <w:w w:val="95"/>
          <w:szCs w:val="16"/>
          <w:shd w:val="clear" w:color="auto" w:fill="FFFFFF" w:themeFill="background1"/>
        </w:rPr>
        <w:t xml:space="preserve"> </w:t>
      </w:r>
      <w:r w:rsidR="003E1AB9" w:rsidRPr="003E1AB9">
        <w:rPr>
          <w:rFonts w:eastAsiaTheme="minorEastAsia" w:hAnsi="Calibri"/>
          <w:color w:val="000000" w:themeColor="text1"/>
          <w:kern w:val="24"/>
          <w:sz w:val="16"/>
          <w:szCs w:val="16"/>
          <w:lang w:val="en-US"/>
        </w:rPr>
        <w:t>Worked as Project lead for Antimicrobial Stewardship in Emerging Markets</w:t>
      </w:r>
      <w:r>
        <w:rPr>
          <w:rFonts w:eastAsiaTheme="minorEastAsia" w:hAnsi="Calibri"/>
          <w:color w:val="000000" w:themeColor="text1"/>
          <w:kern w:val="24"/>
          <w:sz w:val="16"/>
          <w:szCs w:val="16"/>
          <w:lang w:val="en-US"/>
        </w:rPr>
        <w:t xml:space="preserve"> at MSD Pharmaceuticals </w:t>
      </w:r>
      <w:r w:rsidR="003E1AB9" w:rsidRPr="003E1AB9">
        <w:rPr>
          <w:rFonts w:eastAsiaTheme="minorEastAsia" w:hAnsi="Calibri"/>
          <w:color w:val="000000" w:themeColor="text1"/>
          <w:kern w:val="24"/>
          <w:sz w:val="16"/>
          <w:szCs w:val="16"/>
          <w:lang w:val="en-US"/>
        </w:rPr>
        <w:t xml:space="preserve"> from June 2013-May 2016 for   implementation  of AMS in tertiary care hospitals in Russia, India, Brazil, Vietnam, Philippi</w:t>
      </w:r>
      <w:r>
        <w:rPr>
          <w:rFonts w:eastAsiaTheme="minorEastAsia" w:hAnsi="Calibri"/>
          <w:color w:val="000000" w:themeColor="text1"/>
          <w:kern w:val="24"/>
          <w:sz w:val="16"/>
          <w:szCs w:val="16"/>
          <w:lang w:val="en-US"/>
        </w:rPr>
        <w:t>nes, Malaysia and S. Africa. Has</w:t>
      </w:r>
      <w:r w:rsidR="003E1AB9" w:rsidRPr="003E1AB9">
        <w:rPr>
          <w:rFonts w:eastAsiaTheme="minorEastAsia" w:hAnsi="Calibri"/>
          <w:color w:val="000000" w:themeColor="text1"/>
          <w:kern w:val="24"/>
          <w:sz w:val="16"/>
          <w:szCs w:val="16"/>
          <w:lang w:val="en-US"/>
        </w:rPr>
        <w:t xml:space="preserve"> made oral presentations on AMS at International conferences like ISAAR and ICID in 2012 and 2014.</w:t>
      </w:r>
      <w:r w:rsidR="003E1AB9">
        <w:rPr>
          <w:rFonts w:eastAsia="Gulim" w:cs="Arial"/>
          <w:b/>
          <w:spacing w:val="-5"/>
          <w:w w:val="95"/>
          <w:szCs w:val="16"/>
          <w:shd w:val="clear" w:color="auto" w:fill="FFFFFF" w:themeFill="background1"/>
        </w:rPr>
        <w:t xml:space="preserve"> </w:t>
      </w:r>
      <w:r w:rsidR="003E1AB9">
        <w:rPr>
          <w:rFonts w:eastAsiaTheme="minorEastAsia" w:hAnsi="Calibri"/>
          <w:color w:val="000000" w:themeColor="text1"/>
          <w:kern w:val="24"/>
          <w:sz w:val="16"/>
          <w:szCs w:val="16"/>
          <w:lang w:val="en-US"/>
        </w:rPr>
        <w:t>Has</w:t>
      </w:r>
      <w:r w:rsidR="003E1AB9" w:rsidRPr="003E1AB9">
        <w:rPr>
          <w:rFonts w:eastAsiaTheme="minorEastAsia" w:hAnsi="Calibri"/>
          <w:color w:val="000000" w:themeColor="text1"/>
          <w:kern w:val="24"/>
          <w:sz w:val="16"/>
          <w:szCs w:val="16"/>
          <w:lang w:val="en-US"/>
        </w:rPr>
        <w:t xml:space="preserve"> delivered more than 350 lectures on </w:t>
      </w:r>
      <w:r w:rsidRPr="003E1AB9">
        <w:rPr>
          <w:rFonts w:eastAsiaTheme="minorEastAsia" w:hAnsi="Calibri"/>
          <w:color w:val="000000" w:themeColor="text1"/>
          <w:kern w:val="24"/>
          <w:sz w:val="16"/>
          <w:szCs w:val="16"/>
          <w:lang w:val="en-US"/>
        </w:rPr>
        <w:t>rational</w:t>
      </w:r>
      <w:r w:rsidR="003E1AB9" w:rsidRPr="003E1AB9">
        <w:rPr>
          <w:rFonts w:eastAsiaTheme="minorEastAsia" w:hAnsi="Calibri"/>
          <w:color w:val="000000" w:themeColor="text1"/>
          <w:kern w:val="24"/>
          <w:sz w:val="16"/>
          <w:szCs w:val="16"/>
          <w:lang w:val="en-US"/>
        </w:rPr>
        <w:t xml:space="preserve"> use of antimicrobials, </w:t>
      </w:r>
      <w:proofErr w:type="spellStart"/>
      <w:r w:rsidR="003E1AB9" w:rsidRPr="003E1AB9">
        <w:rPr>
          <w:rFonts w:eastAsiaTheme="minorEastAsia" w:hAnsi="Calibri"/>
          <w:color w:val="000000" w:themeColor="text1"/>
          <w:kern w:val="24"/>
          <w:sz w:val="16"/>
          <w:szCs w:val="16"/>
          <w:lang w:val="en-US"/>
        </w:rPr>
        <w:t>Pk-Pd</w:t>
      </w:r>
      <w:proofErr w:type="spellEnd"/>
      <w:r w:rsidR="003E1AB9" w:rsidRPr="003E1AB9">
        <w:rPr>
          <w:rFonts w:eastAsiaTheme="minorEastAsia" w:hAnsi="Calibri"/>
          <w:color w:val="000000" w:themeColor="text1"/>
          <w:kern w:val="24"/>
          <w:sz w:val="16"/>
          <w:szCs w:val="16"/>
          <w:lang w:val="en-US"/>
        </w:rPr>
        <w:t xml:space="preserve"> of antibiotics and management of multi-drug resistant bacteria</w:t>
      </w:r>
    </w:p>
    <w:sectPr w:rsidR="003E1AB9" w:rsidRPr="003E1AB9" w:rsidSect="006B5DC1">
      <w:pgSz w:w="11906" w:h="16838"/>
      <w:pgMar w:top="1440" w:right="1440" w:bottom="1440" w:left="1440"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Gulim">
    <w:altName w:val="Arial Unicode MS"/>
    <w:panose1 w:val="020B0600000101010101"/>
    <w:charset w:val="81"/>
    <w:family w:val="roman"/>
    <w:notTrueType/>
    <w:pitch w:val="fixed"/>
    <w:sig w:usb0="00000000" w:usb1="09060000" w:usb2="00000010" w:usb3="00000000" w:csb0="00080000" w:csb1="00000000"/>
  </w:font>
  <w:font w:name="MyriadPro-It">
    <w:panose1 w:val="00000000000000000000"/>
    <w:charset w:val="00"/>
    <w:family w:val="swiss"/>
    <w:notTrueType/>
    <w:pitch w:val="default"/>
    <w:sig w:usb0="00000003" w:usb1="00000000" w:usb2="00000000" w:usb3="00000000" w:csb0="00000001" w:csb1="00000000"/>
  </w:font>
  <w:font w:name="MyriadPro-Regular">
    <w:panose1 w:val="00000000000000000000"/>
    <w:charset w:val="00"/>
    <w:family w:val="swiss"/>
    <w:notTrueType/>
    <w:pitch w:val="default"/>
    <w:sig w:usb0="00000003" w:usb1="00000000" w:usb2="00000000" w:usb3="00000000" w:csb0="00000001" w:csb1="00000000"/>
  </w:font>
  <w:font w:name="AdvOT1ef757c0">
    <w:panose1 w:val="00000000000000000000"/>
    <w:charset w:val="00"/>
    <w:family w:val="roman"/>
    <w:notTrueType/>
    <w:pitch w:val="default"/>
    <w:sig w:usb0="00000003" w:usb1="00000000" w:usb2="00000000" w:usb3="00000000" w:csb0="00000001" w:csb1="00000000"/>
  </w:font>
  <w:font w:name="AdvOT1ef757c0+20">
    <w:panose1 w:val="00000000000000000000"/>
    <w:charset w:val="00"/>
    <w:family w:val="swiss"/>
    <w:notTrueType/>
    <w:pitch w:val="default"/>
    <w:sig w:usb0="00000003" w:usb1="00000000" w:usb2="00000000" w:usb3="00000000" w:csb0="00000001" w:csb1="00000000"/>
  </w:font>
  <w:font w:name="AdvOT0a81dd96.B">
    <w:panose1 w:val="00000000000000000000"/>
    <w:charset w:val="00"/>
    <w:family w:val="swiss"/>
    <w:notTrueType/>
    <w:pitch w:val="default"/>
    <w:sig w:usb0="00000003" w:usb1="00000000" w:usb2="00000000" w:usb3="00000000" w:csb0="00000001" w:csb1="00000000"/>
  </w:font>
  <w:font w:name="AdvOT0a81dd96.B+20">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935F08"/>
    <w:multiLevelType w:val="hybridMultilevel"/>
    <w:tmpl w:val="36D859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A51E84"/>
    <w:multiLevelType w:val="hybridMultilevel"/>
    <w:tmpl w:val="36D859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7D87411"/>
    <w:multiLevelType w:val="hybridMultilevel"/>
    <w:tmpl w:val="36D859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D0D0994"/>
    <w:multiLevelType w:val="hybridMultilevel"/>
    <w:tmpl w:val="36D859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CA24DC9"/>
    <w:multiLevelType w:val="hybridMultilevel"/>
    <w:tmpl w:val="B16625E0"/>
    <w:lvl w:ilvl="0" w:tplc="8B74671A">
      <w:start w:val="1"/>
      <w:numFmt w:val="bullet"/>
      <w:lvlText w:val="•"/>
      <w:lvlJc w:val="left"/>
      <w:pPr>
        <w:tabs>
          <w:tab w:val="num" w:pos="720"/>
        </w:tabs>
        <w:ind w:left="720" w:hanging="360"/>
      </w:pPr>
      <w:rPr>
        <w:rFonts w:ascii="Arial" w:hAnsi="Arial" w:hint="default"/>
      </w:rPr>
    </w:lvl>
    <w:lvl w:ilvl="1" w:tplc="C19E763E" w:tentative="1">
      <w:start w:val="1"/>
      <w:numFmt w:val="bullet"/>
      <w:lvlText w:val="•"/>
      <w:lvlJc w:val="left"/>
      <w:pPr>
        <w:tabs>
          <w:tab w:val="num" w:pos="1440"/>
        </w:tabs>
        <w:ind w:left="1440" w:hanging="360"/>
      </w:pPr>
      <w:rPr>
        <w:rFonts w:ascii="Arial" w:hAnsi="Arial" w:hint="default"/>
      </w:rPr>
    </w:lvl>
    <w:lvl w:ilvl="2" w:tplc="BBB81190" w:tentative="1">
      <w:start w:val="1"/>
      <w:numFmt w:val="bullet"/>
      <w:lvlText w:val="•"/>
      <w:lvlJc w:val="left"/>
      <w:pPr>
        <w:tabs>
          <w:tab w:val="num" w:pos="2160"/>
        </w:tabs>
        <w:ind w:left="2160" w:hanging="360"/>
      </w:pPr>
      <w:rPr>
        <w:rFonts w:ascii="Arial" w:hAnsi="Arial" w:hint="default"/>
      </w:rPr>
    </w:lvl>
    <w:lvl w:ilvl="3" w:tplc="3B6E72CC" w:tentative="1">
      <w:start w:val="1"/>
      <w:numFmt w:val="bullet"/>
      <w:lvlText w:val="•"/>
      <w:lvlJc w:val="left"/>
      <w:pPr>
        <w:tabs>
          <w:tab w:val="num" w:pos="2880"/>
        </w:tabs>
        <w:ind w:left="2880" w:hanging="360"/>
      </w:pPr>
      <w:rPr>
        <w:rFonts w:ascii="Arial" w:hAnsi="Arial" w:hint="default"/>
      </w:rPr>
    </w:lvl>
    <w:lvl w:ilvl="4" w:tplc="92CABB5A" w:tentative="1">
      <w:start w:val="1"/>
      <w:numFmt w:val="bullet"/>
      <w:lvlText w:val="•"/>
      <w:lvlJc w:val="left"/>
      <w:pPr>
        <w:tabs>
          <w:tab w:val="num" w:pos="3600"/>
        </w:tabs>
        <w:ind w:left="3600" w:hanging="360"/>
      </w:pPr>
      <w:rPr>
        <w:rFonts w:ascii="Arial" w:hAnsi="Arial" w:hint="default"/>
      </w:rPr>
    </w:lvl>
    <w:lvl w:ilvl="5" w:tplc="0CF6AFDC" w:tentative="1">
      <w:start w:val="1"/>
      <w:numFmt w:val="bullet"/>
      <w:lvlText w:val="•"/>
      <w:lvlJc w:val="left"/>
      <w:pPr>
        <w:tabs>
          <w:tab w:val="num" w:pos="4320"/>
        </w:tabs>
        <w:ind w:left="4320" w:hanging="360"/>
      </w:pPr>
      <w:rPr>
        <w:rFonts w:ascii="Arial" w:hAnsi="Arial" w:hint="default"/>
      </w:rPr>
    </w:lvl>
    <w:lvl w:ilvl="6" w:tplc="1C0C7E00" w:tentative="1">
      <w:start w:val="1"/>
      <w:numFmt w:val="bullet"/>
      <w:lvlText w:val="•"/>
      <w:lvlJc w:val="left"/>
      <w:pPr>
        <w:tabs>
          <w:tab w:val="num" w:pos="5040"/>
        </w:tabs>
        <w:ind w:left="5040" w:hanging="360"/>
      </w:pPr>
      <w:rPr>
        <w:rFonts w:ascii="Arial" w:hAnsi="Arial" w:hint="default"/>
      </w:rPr>
    </w:lvl>
    <w:lvl w:ilvl="7" w:tplc="22A09E64" w:tentative="1">
      <w:start w:val="1"/>
      <w:numFmt w:val="bullet"/>
      <w:lvlText w:val="•"/>
      <w:lvlJc w:val="left"/>
      <w:pPr>
        <w:tabs>
          <w:tab w:val="num" w:pos="5760"/>
        </w:tabs>
        <w:ind w:left="5760" w:hanging="360"/>
      </w:pPr>
      <w:rPr>
        <w:rFonts w:ascii="Arial" w:hAnsi="Arial" w:hint="default"/>
      </w:rPr>
    </w:lvl>
    <w:lvl w:ilvl="8" w:tplc="FA564A94" w:tentative="1">
      <w:start w:val="1"/>
      <w:numFmt w:val="bullet"/>
      <w:lvlText w:val="•"/>
      <w:lvlJc w:val="left"/>
      <w:pPr>
        <w:tabs>
          <w:tab w:val="num" w:pos="6480"/>
        </w:tabs>
        <w:ind w:left="6480" w:hanging="360"/>
      </w:pPr>
      <w:rPr>
        <w:rFonts w:ascii="Arial" w:hAnsi="Arial" w:hint="default"/>
      </w:rPr>
    </w:lvl>
  </w:abstractNum>
  <w:num w:numId="1">
    <w:abstractNumId w:val="1"/>
  </w:num>
  <w:num w:numId="2">
    <w:abstractNumId w:val="3"/>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623D"/>
    <w:rsid w:val="00206D03"/>
    <w:rsid w:val="00300852"/>
    <w:rsid w:val="00323199"/>
    <w:rsid w:val="003E1AB9"/>
    <w:rsid w:val="006B5DC1"/>
    <w:rsid w:val="007362EE"/>
    <w:rsid w:val="008C29D8"/>
    <w:rsid w:val="00D0501D"/>
    <w:rsid w:val="00DD7650"/>
    <w:rsid w:val="00DF528F"/>
    <w:rsid w:val="00E361A0"/>
    <w:rsid w:val="00FD623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436CA0"/>
  <w15:chartTrackingRefBased/>
  <w15:docId w15:val="{153AF2C1-C206-4EFF-BE76-42552F2FC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바탕글"/>
    <w:rsid w:val="00E361A0"/>
    <w:pPr>
      <w:widowControl w:val="0"/>
      <w:wordWrap w:val="0"/>
      <w:autoSpaceDE w:val="0"/>
      <w:autoSpaceDN w:val="0"/>
      <w:snapToGrid w:val="0"/>
      <w:spacing w:after="0" w:line="384" w:lineRule="auto"/>
      <w:jc w:val="both"/>
      <w:textAlignment w:val="baseline"/>
    </w:pPr>
    <w:rPr>
      <w:rFonts w:ascii="Batang" w:eastAsia="Batang" w:hAnsi="Batang"/>
      <w:color w:val="000000"/>
      <w:kern w:val="2"/>
      <w:sz w:val="20"/>
      <w:shd w:val="clear" w:color="000000" w:fill="FFFFFF"/>
      <w:lang w:val="en-US" w:eastAsia="ko-KR"/>
    </w:rPr>
  </w:style>
  <w:style w:type="paragraph" w:styleId="ListParagraph">
    <w:name w:val="List Paragraph"/>
    <w:basedOn w:val="Normal"/>
    <w:uiPriority w:val="34"/>
    <w:qFormat/>
    <w:rsid w:val="006B5DC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4614001">
      <w:bodyDiv w:val="1"/>
      <w:marLeft w:val="0"/>
      <w:marRight w:val="0"/>
      <w:marTop w:val="0"/>
      <w:marBottom w:val="0"/>
      <w:divBdr>
        <w:top w:val="none" w:sz="0" w:space="0" w:color="auto"/>
        <w:left w:val="none" w:sz="0" w:space="0" w:color="auto"/>
        <w:bottom w:val="none" w:sz="0" w:space="0" w:color="auto"/>
        <w:right w:val="none" w:sz="0" w:space="0" w:color="auto"/>
      </w:divBdr>
      <w:divsChild>
        <w:div w:id="234169362">
          <w:marLeft w:val="547"/>
          <w:marRight w:val="0"/>
          <w:marTop w:val="58"/>
          <w:marBottom w:val="0"/>
          <w:divBdr>
            <w:top w:val="none" w:sz="0" w:space="0" w:color="auto"/>
            <w:left w:val="none" w:sz="0" w:space="0" w:color="auto"/>
            <w:bottom w:val="none" w:sz="0" w:space="0" w:color="auto"/>
            <w:right w:val="none" w:sz="0" w:space="0" w:color="auto"/>
          </w:divBdr>
        </w:div>
        <w:div w:id="310528218">
          <w:marLeft w:val="547"/>
          <w:marRight w:val="0"/>
          <w:marTop w:val="58"/>
          <w:marBottom w:val="0"/>
          <w:divBdr>
            <w:top w:val="none" w:sz="0" w:space="0" w:color="auto"/>
            <w:left w:val="none" w:sz="0" w:space="0" w:color="auto"/>
            <w:bottom w:val="none" w:sz="0" w:space="0" w:color="auto"/>
            <w:right w:val="none" w:sz="0" w:space="0" w:color="auto"/>
          </w:divBdr>
        </w:div>
        <w:div w:id="1390763333">
          <w:marLeft w:val="547"/>
          <w:marRight w:val="0"/>
          <w:marTop w:val="58"/>
          <w:marBottom w:val="0"/>
          <w:divBdr>
            <w:top w:val="none" w:sz="0" w:space="0" w:color="auto"/>
            <w:left w:val="none" w:sz="0" w:space="0" w:color="auto"/>
            <w:bottom w:val="none" w:sz="0" w:space="0" w:color="auto"/>
            <w:right w:val="none" w:sz="0" w:space="0" w:color="auto"/>
          </w:divBdr>
        </w:div>
        <w:div w:id="100996353">
          <w:marLeft w:val="547"/>
          <w:marRight w:val="0"/>
          <w:marTop w:val="58"/>
          <w:marBottom w:val="0"/>
          <w:divBdr>
            <w:top w:val="none" w:sz="0" w:space="0" w:color="auto"/>
            <w:left w:val="none" w:sz="0" w:space="0" w:color="auto"/>
            <w:bottom w:val="none" w:sz="0" w:space="0" w:color="auto"/>
            <w:right w:val="none" w:sz="0" w:space="0" w:color="auto"/>
          </w:divBdr>
        </w:div>
        <w:div w:id="1577207116">
          <w:marLeft w:val="547"/>
          <w:marRight w:val="0"/>
          <w:marTop w:val="58"/>
          <w:marBottom w:val="0"/>
          <w:divBdr>
            <w:top w:val="none" w:sz="0" w:space="0" w:color="auto"/>
            <w:left w:val="none" w:sz="0" w:space="0" w:color="auto"/>
            <w:bottom w:val="none" w:sz="0" w:space="0" w:color="auto"/>
            <w:right w:val="none" w:sz="0" w:space="0" w:color="auto"/>
          </w:divBdr>
        </w:div>
        <w:div w:id="420109131">
          <w:marLeft w:val="547"/>
          <w:marRight w:val="0"/>
          <w:marTop w:val="58"/>
          <w:marBottom w:val="0"/>
          <w:divBdr>
            <w:top w:val="none" w:sz="0" w:space="0" w:color="auto"/>
            <w:left w:val="none" w:sz="0" w:space="0" w:color="auto"/>
            <w:bottom w:val="none" w:sz="0" w:space="0" w:color="auto"/>
            <w:right w:val="none" w:sz="0" w:space="0" w:color="auto"/>
          </w:divBdr>
        </w:div>
        <w:div w:id="203376150">
          <w:marLeft w:val="547"/>
          <w:marRight w:val="0"/>
          <w:marTop w:val="58"/>
          <w:marBottom w:val="0"/>
          <w:divBdr>
            <w:top w:val="none" w:sz="0" w:space="0" w:color="auto"/>
            <w:left w:val="none" w:sz="0" w:space="0" w:color="auto"/>
            <w:bottom w:val="none" w:sz="0" w:space="0" w:color="auto"/>
            <w:right w:val="none" w:sz="0" w:space="0" w:color="auto"/>
          </w:divBdr>
        </w:div>
        <w:div w:id="1689480588">
          <w:marLeft w:val="547"/>
          <w:marRight w:val="0"/>
          <w:marTop w:val="58"/>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1</Pages>
  <Words>603</Words>
  <Characters>3441</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ankur gupta</dc:creator>
  <cp:keywords/>
  <dc:description/>
  <cp:lastModifiedBy>Ankur Gupta</cp:lastModifiedBy>
  <cp:revision>5</cp:revision>
  <dcterms:created xsi:type="dcterms:W3CDTF">2018-11-11T06:30:00Z</dcterms:created>
  <dcterms:modified xsi:type="dcterms:W3CDTF">2019-01-31T02:28:00Z</dcterms:modified>
</cp:coreProperties>
</file>