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Microsoft JhengHei" w:hAnsi="Microsoft JhengHei" w:eastAsia="Microsoft JhengHei" w:cs="Microsoft JhengHei"/>
          <w:b w:val="0"/>
          <w:i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Microsoft JhengHei" w:hAnsi="Microsoft JhengHei" w:eastAsia="Microsoft JhengHei" w:cs="Microsoft JhengHei"/>
          <w:b w:val="0"/>
          <w:i w:val="0"/>
          <w:color w:val="auto"/>
          <w:sz w:val="28"/>
          <w:szCs w:val="28"/>
          <w:lang w:val="en-US" w:eastAsia="zh-CN"/>
        </w:rPr>
        <w:t>I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auto"/>
          <w:sz w:val="28"/>
          <w:szCs w:val="28"/>
        </w:rPr>
        <w:t>mpact of Human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auto"/>
          <w:sz w:val="28"/>
          <w:szCs w:val="28"/>
        </w:rPr>
        <w:t>Cytomegalovirus Infection on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auto"/>
          <w:sz w:val="28"/>
          <w:szCs w:val="28"/>
        </w:rPr>
        <w:t>Survival of Patients with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auto"/>
          <w:sz w:val="28"/>
          <w:szCs w:val="28"/>
        </w:rPr>
        <w:t>Ovarian Cancer</w:t>
      </w:r>
      <w:r>
        <w:rPr>
          <w:rFonts w:hint="eastAsia" w:ascii="Microsoft JhengHei" w:hAnsi="Microsoft JhengHei" w:eastAsia="Microsoft JhengHei" w:cs="Microsoft JhengHei"/>
          <w:color w:val="auto"/>
          <w:sz w:val="24"/>
          <w:szCs w:val="24"/>
        </w:rPr>
        <w:t xml:space="preserve"> </w:t>
      </w:r>
      <w:r>
        <w:rPr>
          <w:rStyle w:val="7"/>
          <w:rFonts w:hint="eastAsia" w:ascii="Microsoft JhengHei" w:hAnsi="Microsoft JhengHei" w:eastAsia="Microsoft JhengHei" w:cs="Microsoft JhengHei"/>
        </w:rPr>
        <w:t>S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  <w:rPr>
          <w:rFonts w:hint="eastAsia" w:ascii="Microsoft JhengHei" w:hAnsi="Microsoft JhengHei" w:eastAsia="Microsoft JhengHei" w:cs="Microsoft JhengHei"/>
          <w:b w:val="0"/>
          <w:i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Microsoft JhengHei" w:hAnsi="Microsoft JhengHei" w:eastAsia="Microsoft JhengHei" w:cs="Microsoft JhengHei"/>
          <w:b w:val="0"/>
          <w:i w:val="0"/>
          <w:color w:val="000000"/>
          <w:kern w:val="0"/>
          <w:sz w:val="24"/>
          <w:szCs w:val="24"/>
          <w:lang w:val="en-US" w:eastAsia="zh-CN" w:bidi="ar"/>
        </w:rPr>
        <w:t>1.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000000"/>
          <w:kern w:val="0"/>
          <w:sz w:val="24"/>
          <w:szCs w:val="24"/>
          <w:lang w:val="en-US" w:eastAsia="zh-CN" w:bidi="ar"/>
        </w:rPr>
        <w:t xml:space="preserve"> Min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000000"/>
          <w:kern w:val="0"/>
          <w:sz w:val="24"/>
          <w:szCs w:val="24"/>
          <w:lang w:val="en-US" w:eastAsia="zh-CN" w:bidi="ar"/>
        </w:rPr>
        <w:t>Yin; Qingdao University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000000"/>
          <w:sz w:val="24"/>
          <w:szCs w:val="24"/>
        </w:rPr>
        <w:t>Qingdao, Shandong Province, China</w:t>
      </w:r>
      <w:r>
        <w:rPr>
          <w:rFonts w:hint="eastAsia" w:ascii="Microsoft JhengHei" w:hAnsi="Microsoft JhengHei" w:eastAsia="Microsoft JhengHei" w:cs="Microsoft JhengHei"/>
          <w:sz w:val="24"/>
          <w:szCs w:val="24"/>
        </w:rPr>
        <w:t xml:space="preserve"> </w:t>
      </w:r>
    </w:p>
    <w:p>
      <w:pPr>
        <w:rPr>
          <w:rFonts w:hint="eastAsia" w:ascii="Microsoft JhengHei" w:hAnsi="Microsoft JhengHei" w:eastAsia="Microsoft JhengHei" w:cs="Microsoft JhengHei"/>
          <w:b w:val="0"/>
          <w:i w:val="0"/>
          <w:color w:val="000000"/>
          <w:sz w:val="24"/>
          <w:szCs w:val="24"/>
        </w:rPr>
      </w:pPr>
      <w:r>
        <w:rPr>
          <w:rFonts w:hint="eastAsia" w:ascii="Microsoft JhengHei" w:hAnsi="Microsoft JhengHei" w:eastAsia="Microsoft JhengHei" w:cs="Microsoft JhengHei"/>
          <w:b w:val="0"/>
          <w:i w:val="0"/>
          <w:color w:val="000000"/>
          <w:kern w:val="0"/>
          <w:sz w:val="24"/>
          <w:szCs w:val="24"/>
          <w:lang w:val="en-US" w:eastAsia="zh-CN" w:bidi="ar"/>
        </w:rPr>
        <w:t>2.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000000"/>
          <w:kern w:val="0"/>
          <w:sz w:val="24"/>
          <w:szCs w:val="24"/>
          <w:lang w:val="en-US" w:eastAsia="zh-CN" w:bidi="ar"/>
        </w:rPr>
        <w:t>Ai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000000"/>
          <w:kern w:val="0"/>
          <w:sz w:val="24"/>
          <w:szCs w:val="24"/>
          <w:lang w:val="en-US" w:eastAsia="zh-CN" w:bidi="ar"/>
        </w:rPr>
        <w:t>-P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000000"/>
          <w:kern w:val="0"/>
          <w:sz w:val="24"/>
          <w:szCs w:val="24"/>
          <w:lang w:val="en-US" w:eastAsia="zh-CN" w:bidi="ar"/>
        </w:rPr>
        <w:t>ing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000000"/>
          <w:kern w:val="0"/>
          <w:sz w:val="24"/>
          <w:szCs w:val="24"/>
          <w:lang w:val="en-US" w:eastAsia="zh-CN" w:bidi="ar"/>
        </w:rPr>
        <w:t>Chen, ; The Affiliated Hospital of Qingdao University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000000"/>
          <w:sz w:val="24"/>
          <w:szCs w:val="24"/>
        </w:rPr>
        <w:t>Qingdao, Shandong Province, China</w:t>
      </w:r>
    </w:p>
    <w:p>
      <w:pPr>
        <w:rPr>
          <w:rFonts w:hint="eastAsia" w:ascii="Microsoft JhengHei" w:hAnsi="Microsoft JhengHei" w:eastAsia="Microsoft JhengHei" w:cs="Microsoft JhengHei"/>
          <w:b w:val="0"/>
          <w:i w:val="0"/>
          <w:color w:val="000000"/>
          <w:sz w:val="24"/>
          <w:szCs w:val="24"/>
        </w:rPr>
      </w:pPr>
    </w:p>
    <w:p>
      <w:pPr>
        <w:pStyle w:val="2"/>
        <w:spacing w:before="147"/>
        <w:jc w:val="both"/>
        <w:rPr>
          <w:rFonts w:hint="eastAsia" w:ascii="Microsoft JhengHei" w:hAnsi="Microsoft JhengHei" w:eastAsia="Microsoft JhengHei" w:cs="Microsoft JhengHei"/>
        </w:rPr>
      </w:pPr>
      <w:r>
        <w:rPr>
          <w:rFonts w:hint="eastAsia" w:ascii="Microsoft JhengHei" w:hAnsi="Microsoft JhengHei" w:eastAsia="Microsoft JhengHei" w:cs="Microsoft JhengHei"/>
          <w:color w:val="BF5A14"/>
        </w:rPr>
        <w:t>Abstract (300 word limit)</w:t>
      </w:r>
    </w:p>
    <w:p>
      <w:pPr>
        <w:rPr>
          <w:rFonts w:hint="eastAsia" w:ascii="Microsoft JhengHei" w:hAnsi="Microsoft JhengHei" w:eastAsia="Microsoft JhengHei" w:cs="Microsoft JhengHei"/>
          <w:sz w:val="24"/>
          <w:szCs w:val="24"/>
        </w:rPr>
      </w:pP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Human cytomegalovirus (HCMV) has been detected in various types of tumors.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 xml:space="preserve">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We studied the prevalence of HCMV in ovarian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 xml:space="preserve">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 xml:space="preserve">cancer and its relation to clinical outcome. Paraffin-embedded tissues obtained prospectively from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 xml:space="preserve">60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patients with ovarian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 xml:space="preserve">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 xml:space="preserve">cancer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>,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 xml:space="preserve"> 30 patients with benign ovarian cystadenoma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 xml:space="preserve"> and 10 patients with normal ovarian tissue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 xml:space="preserve"> were analyzed for expression of HCMV immediate-early protein (IE)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 xml:space="preserve">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and HCMV tegument protein (pp65) by immunohistochemistry. Extensive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 xml:space="preserve">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HCMV-IE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 xml:space="preserve">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protein expression was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 xml:space="preserve">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detected in 7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>3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%of ovarian cancers and 2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>3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%of benign tumors; pp65 wasdetected in 6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>5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% of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 xml:space="preserve">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ovarian cancers and 1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>3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% of benign tumors. A higher grade of HCMV infection was associated with higher stage of disease.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 xml:space="preserve">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Extensive HCMV-pp65 expression was associated with shorter median overall survival than focal expression (3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>7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 xml:space="preserve"> versus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 xml:space="preserve">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4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>5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 xml:space="preserve"> months, </w:t>
      </w:r>
      <w:r>
        <w:rPr>
          <w:rStyle w:val="8"/>
          <w:rFonts w:hint="eastAsia" w:ascii="Microsoft JhengHei" w:hAnsi="Microsoft JhengHei" w:eastAsia="Microsoft JhengHei" w:cs="Microsoft JhengHei"/>
        </w:rPr>
        <w:t xml:space="preserve">P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=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>0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 xml:space="preserve"> .0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>4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)</w:t>
      </w:r>
      <w:r>
        <w:rPr>
          <w:rStyle w:val="8"/>
          <w:rFonts w:hint="eastAsia" w:ascii="Microsoft JhengHei" w:hAnsi="Microsoft JhengHei" w:eastAsia="Microsoft JhengHei" w:cs="Microsoft JhengHei"/>
        </w:rPr>
        <w:t xml:space="preserve">.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At study closure, 5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>5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% of ovarian cancer patients with focal pp65 expression were alive versus 2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>8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% of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 xml:space="preserve">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 xml:space="preserve">patients with extensive pp65 expression (P =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>0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.0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>3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). Thus, HCMV proteins are detected at different levels in ovarian tumors and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  <w:lang w:val="en-US" w:eastAsia="zh-CN"/>
        </w:rPr>
        <w:t xml:space="preserve"> </w:t>
      </w:r>
      <w:r>
        <w:rPr>
          <w:rFonts w:hint="eastAsia" w:ascii="Microsoft JhengHei" w:hAnsi="Microsoft JhengHei" w:eastAsia="Microsoft JhengHei" w:cs="Microsoft JhengHei"/>
          <w:b w:val="0"/>
          <w:i w:val="0"/>
          <w:color w:val="231F20"/>
          <w:sz w:val="20"/>
          <w:szCs w:val="20"/>
        </w:rPr>
        <w:t>benign cystadenomas. Ovarian cancer patients with focal HCMV-pp65 expression in their tumors lived longer, highlighting a need for in-depth studies of the oncomodulatory role of HCMV in ovarian cancer.</w:t>
      </w:r>
      <w:r>
        <w:rPr>
          <w:rFonts w:hint="eastAsia" w:ascii="Microsoft JhengHei" w:hAnsi="Microsoft JhengHei" w:eastAsia="Microsoft JhengHei" w:cs="Microsoft JhengHei"/>
          <w:sz w:val="24"/>
          <w:szCs w:val="24"/>
        </w:rPr>
        <w:t xml:space="preserve"> </w:t>
      </w:r>
    </w:p>
    <w:p>
      <w:pPr>
        <w:spacing w:line="204" w:lineRule="exact"/>
        <w:rPr>
          <w:rFonts w:hint="eastAsia" w:ascii="Microsoft JhengHei" w:hAnsi="Microsoft JhengHei" w:eastAsia="Microsoft JhengHei" w:cs="Microsoft JhengHei"/>
          <w:b/>
          <w:sz w:val="20"/>
        </w:rPr>
      </w:pPr>
      <w:r>
        <w:rPr>
          <w:rFonts w:hint="eastAsia" w:ascii="Microsoft JhengHei" w:hAnsi="Microsoft JhengHei" w:eastAsia="Microsoft JhengHei" w:cs="Microsoft JhengHei"/>
          <w:b/>
          <w:color w:val="BF5A14"/>
          <w:sz w:val="20"/>
        </w:rPr>
        <w:t>Recent Publications (minimum 5)</w:t>
      </w:r>
    </w:p>
    <w:p>
      <w:pPr>
        <w:spacing w:line="360" w:lineRule="auto"/>
        <w:rPr>
          <w:rFonts w:hint="eastAsia" w:ascii="Microsoft JhengHei" w:hAnsi="Microsoft JhengHei" w:eastAsia="Microsoft JhengHei" w:cs="Microsoft JhengHei"/>
          <w:szCs w:val="21"/>
        </w:rPr>
      </w:pPr>
      <w:r>
        <w:rPr>
          <w:rFonts w:hint="eastAsia" w:ascii="Microsoft JhengHei" w:hAnsi="Microsoft JhengHei" w:eastAsia="Microsoft JhengHei" w:cs="Microsoft JhengHei"/>
          <w:szCs w:val="21"/>
        </w:rPr>
        <w:br w:type="textWrapping"/>
      </w:r>
      <w:r>
        <w:rPr>
          <w:rFonts w:hint="eastAsia" w:ascii="Microsoft JhengHei" w:hAnsi="Microsoft JhengHei" w:eastAsia="Microsoft JhengHei" w:cs="Microsoft JhengHei"/>
          <w:szCs w:val="21"/>
        </w:rPr>
        <w:t>[</w:t>
      </w:r>
      <w:r>
        <w:rPr>
          <w:rFonts w:hint="eastAsia" w:ascii="Microsoft JhengHei" w:hAnsi="Microsoft JhengHei" w:eastAsia="Microsoft JhengHei" w:cs="Microsoft JhengHei"/>
          <w:szCs w:val="21"/>
          <w:lang w:val="en-US" w:eastAsia="zh-CN"/>
        </w:rPr>
        <w:t>1</w:t>
      </w:r>
      <w:r>
        <w:rPr>
          <w:rFonts w:hint="eastAsia" w:ascii="Microsoft JhengHei" w:hAnsi="Microsoft JhengHei" w:eastAsia="Microsoft JhengHei" w:cs="Microsoft JhengHei"/>
          <w:szCs w:val="21"/>
        </w:rPr>
        <w:t>] Shanmughapriya S, Senthilkumar G, Vinodhini K, et al. Viral and bacterialaetiologies of epithelial ovarian cancer. Eur J Clin Microbiol Infect Dis.2012;31:2311–7</w:t>
      </w:r>
    </w:p>
    <w:p>
      <w:pPr>
        <w:spacing w:line="360" w:lineRule="auto"/>
        <w:rPr>
          <w:rFonts w:hint="eastAsia" w:ascii="Microsoft JhengHei" w:hAnsi="Microsoft JhengHei" w:eastAsia="Microsoft JhengHei" w:cs="Microsoft JhengHei"/>
          <w:color w:val="000000"/>
          <w:szCs w:val="21"/>
          <w:shd w:val="clear" w:color="auto" w:fill="FFFFFF"/>
        </w:rPr>
      </w:pPr>
      <w:r>
        <w:rPr>
          <w:rFonts w:hint="eastAsia" w:ascii="Microsoft JhengHei" w:hAnsi="Microsoft JhengHei" w:eastAsia="Microsoft JhengHei" w:cs="Microsoft JhengHei"/>
          <w:szCs w:val="21"/>
        </w:rPr>
        <w:t>[</w:t>
      </w:r>
      <w:r>
        <w:rPr>
          <w:rFonts w:hint="eastAsia" w:ascii="Microsoft JhengHei" w:hAnsi="Microsoft JhengHei" w:eastAsia="Microsoft JhengHei" w:cs="Microsoft JhengHei"/>
          <w:szCs w:val="21"/>
          <w:lang w:val="en-US" w:eastAsia="zh-CN"/>
        </w:rPr>
        <w:t>2</w:t>
      </w:r>
      <w:r>
        <w:rPr>
          <w:rFonts w:hint="eastAsia" w:ascii="Microsoft JhengHei" w:hAnsi="Microsoft JhengHei" w:eastAsia="Microsoft JhengHei" w:cs="Microsoft JhengHei"/>
          <w:szCs w:val="21"/>
        </w:rPr>
        <w:t xml:space="preserve">] </w:t>
      </w:r>
      <w:r>
        <w:rPr>
          <w:rFonts w:hint="eastAsia" w:ascii="Microsoft JhengHei" w:hAnsi="Microsoft JhengHei" w:eastAsia="Microsoft JhengHei" w:cs="Microsoft JhengHei"/>
          <w:color w:val="000000"/>
          <w:szCs w:val="21"/>
          <w:shd w:val="clear" w:color="auto" w:fill="FFFFFF"/>
        </w:rPr>
        <w:t xml:space="preserve">Carlson J W , RDestad A F , SDerberg-Naucler C , et al. Human cytomegalovirus in high grade serous ovarian cancer possible implications </w:t>
      </w:r>
      <w:bookmarkStart w:id="0" w:name="_GoBack"/>
      <w:bookmarkEnd w:id="0"/>
      <w:r>
        <w:rPr>
          <w:rFonts w:hint="eastAsia" w:ascii="Microsoft JhengHei" w:hAnsi="Microsoft JhengHei" w:eastAsia="Microsoft JhengHei" w:cs="Microsoft JhengHei"/>
          <w:color w:val="000000"/>
          <w:szCs w:val="21"/>
          <w:shd w:val="clear" w:color="auto" w:fill="FFFFFF"/>
        </w:rPr>
        <w:t>for patients survival[J]. Medicine, 2018, 97(4):e9685.</w:t>
      </w:r>
    </w:p>
    <w:p>
      <w:pPr>
        <w:pStyle w:val="3"/>
        <w:widowControl/>
        <w:shd w:val="clear" w:color="auto" w:fill="FFFFFF"/>
        <w:spacing w:beforeAutospacing="0" w:afterAutospacing="0" w:line="360" w:lineRule="auto"/>
        <w:rPr>
          <w:rFonts w:hint="eastAsia" w:ascii="Microsoft JhengHei" w:hAnsi="Microsoft JhengHei" w:eastAsia="Microsoft JhengHei" w:cs="Microsoft JhengHei"/>
          <w:b w:val="0"/>
          <w:sz w:val="21"/>
          <w:szCs w:val="21"/>
          <w:shd w:val="clear" w:color="auto" w:fill="FFFFFF"/>
        </w:rPr>
      </w:pPr>
      <w:r>
        <w:rPr>
          <w:rFonts w:hint="eastAsia" w:ascii="Microsoft JhengHei" w:hAnsi="Microsoft JhengHei" w:eastAsia="Microsoft JhengHei" w:cs="Microsoft JhengHei"/>
          <w:b w:val="0"/>
          <w:sz w:val="21"/>
          <w:szCs w:val="21"/>
          <w:shd w:val="clear" w:color="auto" w:fill="FFFFFF"/>
        </w:rPr>
        <w:t>[</w:t>
      </w:r>
      <w:r>
        <w:rPr>
          <w:rFonts w:hint="eastAsia" w:ascii="Microsoft JhengHei" w:hAnsi="Microsoft JhengHei" w:eastAsia="Microsoft JhengHei" w:cs="Microsoft JhengHei"/>
          <w:b w:val="0"/>
          <w:sz w:val="21"/>
          <w:szCs w:val="21"/>
          <w:shd w:val="clear" w:color="auto" w:fill="FFFFFF"/>
          <w:lang w:val="en-US" w:eastAsia="zh-CN"/>
        </w:rPr>
        <w:t>3</w:t>
      </w:r>
      <w:r>
        <w:rPr>
          <w:rFonts w:hint="eastAsia" w:ascii="Microsoft JhengHei" w:hAnsi="Microsoft JhengHei" w:eastAsia="Microsoft JhengHei" w:cs="Microsoft JhengHei"/>
          <w:b w:val="0"/>
          <w:sz w:val="21"/>
          <w:szCs w:val="21"/>
          <w:shd w:val="clear" w:color="auto" w:fill="FFFFFF"/>
        </w:rPr>
        <w:t xml:space="preserve">] </w:t>
      </w:r>
      <w:r>
        <w:rPr>
          <w:rFonts w:hint="eastAsia" w:ascii="Microsoft JhengHei" w:hAnsi="Microsoft JhengHei" w:eastAsia="Microsoft JhengHei" w:cs="Microsoft JhengHei"/>
          <w:b w:val="0"/>
          <w:sz w:val="21"/>
          <w:szCs w:val="21"/>
          <w:shd w:val="clear" w:color="auto" w:fill="FFFFFF"/>
        </w:rPr>
        <w:t xml:space="preserve">Rådestad, Angelique Flöter et al. </w:t>
      </w:r>
      <w:r>
        <w:rPr>
          <w:rFonts w:hint="eastAsia" w:ascii="Microsoft JhengHei" w:hAnsi="Microsoft JhengHei" w:eastAsia="Microsoft JhengHei" w:cs="Microsoft JhengHei"/>
          <w:b w:val="0"/>
          <w:sz w:val="21"/>
          <w:szCs w:val="21"/>
          <w:shd w:val="clear" w:color="auto" w:fill="FFFFFF"/>
        </w:rPr>
        <w:t>Impact of Human Cytomegalovirus Infection and its Immune Response on Survival of Patients with Ovarian Cancer</w:t>
      </w:r>
      <w:r>
        <w:rPr>
          <w:rFonts w:hint="eastAsia" w:ascii="Microsoft JhengHei" w:hAnsi="Microsoft JhengHei" w:eastAsia="Microsoft JhengHei" w:cs="Microsoft JhengHei"/>
          <w:b w:val="0"/>
          <w:sz w:val="21"/>
          <w:szCs w:val="21"/>
          <w:shd w:val="clear" w:color="auto" w:fill="FFFFFF"/>
        </w:rPr>
        <w:t>.</w:t>
      </w:r>
      <w:r>
        <w:rPr>
          <w:rFonts w:hint="eastAsia" w:ascii="Microsoft JhengHei" w:hAnsi="Microsoft JhengHei" w:eastAsia="Microsoft JhengHei" w:cs="Microsoft JhengHei"/>
          <w:b w:val="0"/>
          <w:sz w:val="21"/>
          <w:szCs w:val="21"/>
          <w:shd w:val="clear" w:color="auto" w:fill="FFFFFF"/>
        </w:rPr>
        <w:t xml:space="preserve"> Translational Oncology , </w:t>
      </w:r>
      <w:r>
        <w:rPr>
          <w:rFonts w:hint="eastAsia" w:ascii="Microsoft JhengHei" w:hAnsi="Microsoft JhengHei" w:eastAsia="Microsoft JhengHei" w:cs="Microsoft JhengHei"/>
          <w:b w:val="0"/>
          <w:sz w:val="21"/>
          <w:szCs w:val="21"/>
          <w:shd w:val="clear" w:color="auto" w:fill="FFFFFF"/>
          <w:lang w:val="en-US" w:eastAsia="zh-CN"/>
        </w:rPr>
        <w:t xml:space="preserve">2018, </w:t>
      </w:r>
      <w:r>
        <w:rPr>
          <w:rFonts w:hint="eastAsia" w:ascii="Microsoft JhengHei" w:hAnsi="Microsoft JhengHei" w:eastAsia="Microsoft JhengHei" w:cs="Microsoft JhengHei"/>
          <w:b w:val="0"/>
          <w:sz w:val="21"/>
          <w:szCs w:val="21"/>
          <w:shd w:val="clear" w:color="auto" w:fill="FFFFFF"/>
        </w:rPr>
        <w:t>Volume 11 , Issue 6 , 1292 - 1300</w:t>
      </w:r>
    </w:p>
    <w:p>
      <w:pPr>
        <w:rPr>
          <w:rFonts w:hint="eastAsia" w:ascii="Microsoft JhengHei" w:hAnsi="Microsoft JhengHei" w:eastAsia="Microsoft JhengHei" w:cs="Microsoft JhengHei"/>
          <w:sz w:val="24"/>
          <w:szCs w:val="24"/>
        </w:rPr>
      </w:pPr>
    </w:p>
    <w:p>
      <w:pPr>
        <w:rPr>
          <w:rFonts w:hint="eastAsia" w:ascii="Microsoft JhengHei" w:hAnsi="Microsoft JhengHei" w:eastAsia="Microsoft JhengHei" w:cs="Microsoft JhengHei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AdvTT3e39d8c8 . 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TimesNewRoma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Tw Cen MT">
    <w:altName w:val="Segoe Print"/>
    <w:panose1 w:val="020B0602020104020603"/>
    <w:charset w:val="00"/>
    <w:family w:val="swiss"/>
    <w:pitch w:val="default"/>
    <w:sig w:usb0="00000000" w:usb1="00000000" w:usb2="00000000" w:usb3="00000000" w:csb0="00000003" w:csb1="00000000"/>
  </w:font>
  <w:font w:name="AdvTT3a4696d7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TTc9dade78 . 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TT454a7a89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A0000287" w:usb1="28CF3C52" w:usb2="00000016" w:usb3="00000000" w:csb0="0004001F" w:csb1="00000000"/>
  </w:font>
  <w:font w:name="Helvetica">
    <w:altName w:val="Arial"/>
    <w:panose1 w:val="020B0504020202030204"/>
    <w:charset w:val="00"/>
    <w:family w:val="swiss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19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1"/>
    <w:pPr>
      <w:ind w:left="100"/>
      <w:outlineLvl w:val="2"/>
    </w:pPr>
    <w:rPr>
      <w:rFonts w:ascii="Arial" w:hAnsi="Arial" w:eastAsia="Arial" w:cs="Arial"/>
      <w:b/>
      <w:bCs/>
      <w:sz w:val="20"/>
      <w:szCs w:val="20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kern w:val="0"/>
      <w:sz w:val="24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18"/>
      <w:szCs w:val="18"/>
    </w:rPr>
  </w:style>
  <w:style w:type="character" w:customStyle="1" w:styleId="7">
    <w:name w:val="fontstyle01"/>
    <w:basedOn w:val="5"/>
    <w:uiPriority w:val="0"/>
    <w:rPr>
      <w:rFonts w:ascii="AdvTT3e39d8c8 . B" w:hAnsi="AdvTT3e39d8c8 . B" w:eastAsia="AdvTT3e39d8c8 . B" w:cs="AdvTT3e39d8c8 . B"/>
      <w:color w:val="FFFFFF"/>
      <w:sz w:val="28"/>
      <w:szCs w:val="28"/>
    </w:rPr>
  </w:style>
  <w:style w:type="character" w:customStyle="1" w:styleId="8">
    <w:name w:val="fontstyle21"/>
    <w:basedOn w:val="5"/>
    <w:uiPriority w:val="0"/>
    <w:rPr>
      <w:rFonts w:ascii="AdvTTc9dade78 . I" w:hAnsi="AdvTTc9dade78 . I" w:eastAsia="AdvTTc9dade78 . I" w:cs="AdvTTc9dade78 . I"/>
      <w:color w:val="231F20"/>
      <w:sz w:val="20"/>
      <w:szCs w:val="20"/>
    </w:rPr>
  </w:style>
  <w:style w:type="character" w:customStyle="1" w:styleId="9">
    <w:name w:val="fontstyle31"/>
    <w:basedOn w:val="5"/>
    <w:uiPriority w:val="0"/>
    <w:rPr>
      <w:rFonts w:ascii="AdvTT454a7a89" w:hAnsi="AdvTT454a7a89" w:eastAsia="AdvTT454a7a89" w:cs="AdvTT454a7a89"/>
      <w:color w:val="231F2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伟</dc:creator>
  <cp:lastModifiedBy> 彩虹糖 没有彩虹</cp:lastModifiedBy>
  <dcterms:modified xsi:type="dcterms:W3CDTF">2018-12-15T08:55:48Z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2052-10.1.0.7670</vt:lpwstr>
  </property>
</Properties>
</file>