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2A559B" w14:textId="7F57AD0F" w:rsidR="00AE3E37" w:rsidRDefault="00320DD3" w:rsidP="00494130">
      <w:pPr>
        <w:pStyle w:val="Heading1"/>
        <w:spacing w:before="170"/>
        <w:ind w:left="0"/>
      </w:pPr>
      <w:r>
        <w:rPr>
          <w:color w:val="337AB7"/>
        </w:rPr>
        <w:t>Immune landscape in patients with IBD</w:t>
      </w:r>
    </w:p>
    <w:p w14:paraId="3A2A559C" w14:textId="5704533B" w:rsidR="005973B9" w:rsidRDefault="00910A2D" w:rsidP="005973B9">
      <w:pPr>
        <w:pStyle w:val="BodyText"/>
        <w:spacing w:before="73" w:line="198" w:lineRule="exact"/>
        <w:ind w:left="100" w:right="5987"/>
        <w:rPr>
          <w:rFonts w:ascii="Arial"/>
        </w:rPr>
      </w:pPr>
      <w:r>
        <w:rPr>
          <w:rFonts w:ascii="Arial"/>
        </w:rPr>
        <w:t>Hong Liu</w:t>
      </w:r>
      <w:r w:rsidR="005973B9">
        <w:rPr>
          <w:rFonts w:ascii="Arial"/>
        </w:rPr>
        <w:t xml:space="preserve">, PhD, </w:t>
      </w:r>
      <w:r>
        <w:rPr>
          <w:rFonts w:ascii="Arial"/>
        </w:rPr>
        <w:t>Takeda Pharmaceuticals</w:t>
      </w:r>
      <w:r w:rsidR="005973B9">
        <w:rPr>
          <w:rFonts w:ascii="Arial"/>
        </w:rPr>
        <w:t xml:space="preserve">, </w:t>
      </w:r>
      <w:r w:rsidR="005D3F89">
        <w:rPr>
          <w:rFonts w:ascii="Arial"/>
        </w:rPr>
        <w:t xml:space="preserve">Cambridge, MA </w:t>
      </w:r>
      <w:r w:rsidR="005973B9">
        <w:rPr>
          <w:rFonts w:ascii="Arial"/>
        </w:rPr>
        <w:t>USA</w:t>
      </w:r>
    </w:p>
    <w:p w14:paraId="3A2A559D" w14:textId="77777777" w:rsidR="00AE3E37" w:rsidRDefault="00AE3E37">
      <w:pPr>
        <w:pStyle w:val="BodyText"/>
        <w:rPr>
          <w:rFonts w:ascii="Arial"/>
          <w:sz w:val="20"/>
        </w:rPr>
      </w:pPr>
    </w:p>
    <w:p w14:paraId="3A2A559E" w14:textId="77777777" w:rsidR="00AE3E37" w:rsidRDefault="00AE3E37">
      <w:pPr>
        <w:pStyle w:val="BodyText"/>
        <w:spacing w:before="3"/>
        <w:rPr>
          <w:rFonts w:ascii="Arial"/>
          <w:sz w:val="21"/>
        </w:rPr>
      </w:pPr>
    </w:p>
    <w:p w14:paraId="3A2A559F"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A2A55A0" w14:textId="77777777" w:rsidR="00AE3E37" w:rsidRDefault="00A9710C">
      <w:pPr>
        <w:pStyle w:val="Heading3"/>
        <w:spacing w:before="147"/>
        <w:jc w:val="both"/>
      </w:pPr>
      <w:r>
        <w:rPr>
          <w:color w:val="BF5A14"/>
        </w:rPr>
        <w:t>Abstract</w:t>
      </w:r>
      <w:r w:rsidR="00404E5B">
        <w:rPr>
          <w:color w:val="BF5A14"/>
        </w:rPr>
        <w:t xml:space="preserve"> (300 word limit)</w:t>
      </w:r>
    </w:p>
    <w:p w14:paraId="33E02C68" w14:textId="1E253986" w:rsidR="004F1768" w:rsidRPr="004F1768" w:rsidRDefault="004F1768" w:rsidP="004F1768">
      <w:pPr>
        <w:pStyle w:val="Heading3"/>
        <w:spacing w:before="74"/>
        <w:rPr>
          <w:rFonts w:ascii="Tw Cen MT" w:eastAsia="Tw Cen MT" w:hAnsi="Tw Cen MT" w:cs="Tw Cen MT"/>
          <w:b w:val="0"/>
          <w:bCs w:val="0"/>
          <w:sz w:val="18"/>
          <w:szCs w:val="18"/>
        </w:rPr>
      </w:pPr>
      <w:r w:rsidRPr="004F1768">
        <w:rPr>
          <w:rFonts w:ascii="Tw Cen MT" w:eastAsia="Tw Cen MT" w:hAnsi="Tw Cen MT" w:cs="Tw Cen MT"/>
          <w:b w:val="0"/>
          <w:bCs w:val="0"/>
          <w:sz w:val="18"/>
          <w:szCs w:val="18"/>
        </w:rPr>
        <w:t xml:space="preserve">Myeloid cells, especially mononuclear phagocytes, which include monocytes, macrophages and dendritic cells (DC), play vital roles in innate immunity, and in the initiation and maintenance of adaptive immunity.  While T cell-associated activation pathways and cytokines have been identified and evaluated in inflammatory bowel disease (IBD) patients, the role of mononuclear phagocytes are less understood. </w:t>
      </w:r>
    </w:p>
    <w:p w14:paraId="3A7D5AF0" w14:textId="1AB5474B" w:rsidR="004F1768" w:rsidRPr="004F1768" w:rsidRDefault="004F1768" w:rsidP="004F1768">
      <w:pPr>
        <w:pStyle w:val="Heading3"/>
        <w:spacing w:before="74"/>
        <w:rPr>
          <w:rFonts w:ascii="Tw Cen MT" w:eastAsia="Tw Cen MT" w:hAnsi="Tw Cen MT" w:cs="Tw Cen MT"/>
          <w:b w:val="0"/>
          <w:bCs w:val="0"/>
          <w:sz w:val="18"/>
          <w:szCs w:val="18"/>
        </w:rPr>
      </w:pPr>
      <w:r w:rsidRPr="004F1768">
        <w:rPr>
          <w:rFonts w:ascii="Tw Cen MT" w:eastAsia="Tw Cen MT" w:hAnsi="Tw Cen MT" w:cs="Tw Cen MT"/>
          <w:b w:val="0"/>
          <w:bCs w:val="0"/>
          <w:sz w:val="18"/>
          <w:szCs w:val="18"/>
        </w:rPr>
        <w:t xml:space="preserve">We performed in silico analysis and evaluated the enrichment of immune cells, with a focus on mononuclear phagocytes in IBD patient colonic biopsies.  Samples were from different gut locations, with different levels of disease severity, and with treatment response to current therapies.  We observe enrichment of monocytes, M1 macrophages, activated DCs and plasmacytoid </w:t>
      </w:r>
      <w:r w:rsidR="003E1272">
        <w:rPr>
          <w:rFonts w:ascii="Tw Cen MT" w:eastAsia="Tw Cen MT" w:hAnsi="Tw Cen MT" w:cs="Tw Cen MT"/>
          <w:b w:val="0"/>
          <w:bCs w:val="0"/>
          <w:sz w:val="18"/>
          <w:szCs w:val="18"/>
        </w:rPr>
        <w:t>DC</w:t>
      </w:r>
      <w:r w:rsidRPr="004F1768">
        <w:rPr>
          <w:rFonts w:ascii="Tw Cen MT" w:eastAsia="Tw Cen MT" w:hAnsi="Tw Cen MT" w:cs="Tw Cen MT"/>
          <w:b w:val="0"/>
          <w:bCs w:val="0"/>
          <w:sz w:val="18"/>
          <w:szCs w:val="18"/>
        </w:rPr>
        <w:t xml:space="preserve">s in inflamed tissues from various gut locations.  This enrichment correlates with disease severity.  Additionally, the same mononuclear phagocytes subsets are among the top enriched cell types in both infliximab and vedolizumab treatment non-responder samples.  We further investigated the enrichment of selected DC and monocyte subsets based on gene signatures derived from a DC- and monocyte-focused </w:t>
      </w:r>
      <w:proofErr w:type="spellStart"/>
      <w:r w:rsidRPr="004F1768">
        <w:rPr>
          <w:rFonts w:ascii="Tw Cen MT" w:eastAsia="Tw Cen MT" w:hAnsi="Tw Cen MT" w:cs="Tw Cen MT"/>
          <w:b w:val="0"/>
          <w:bCs w:val="0"/>
          <w:sz w:val="18"/>
          <w:szCs w:val="18"/>
        </w:rPr>
        <w:t>scRNA</w:t>
      </w:r>
      <w:proofErr w:type="spellEnd"/>
      <w:r w:rsidRPr="004F1768">
        <w:rPr>
          <w:rFonts w:ascii="Tw Cen MT" w:eastAsia="Tw Cen MT" w:hAnsi="Tw Cen MT" w:cs="Tw Cen MT"/>
          <w:b w:val="0"/>
          <w:bCs w:val="0"/>
          <w:sz w:val="18"/>
          <w:szCs w:val="18"/>
        </w:rPr>
        <w:t>-seq study</w:t>
      </w:r>
      <w:r w:rsidR="003852C6">
        <w:rPr>
          <w:rFonts w:ascii="Tw Cen MT" w:eastAsia="Tw Cen MT" w:hAnsi="Tw Cen MT" w:cs="Tw Cen MT"/>
          <w:b w:val="0"/>
          <w:bCs w:val="0"/>
          <w:sz w:val="18"/>
          <w:szCs w:val="18"/>
        </w:rPr>
        <w:t>;</w:t>
      </w:r>
      <w:r w:rsidRPr="004F1768">
        <w:rPr>
          <w:rFonts w:ascii="Tw Cen MT" w:eastAsia="Tw Cen MT" w:hAnsi="Tw Cen MT" w:cs="Tw Cen MT"/>
          <w:b w:val="0"/>
          <w:bCs w:val="0"/>
          <w:sz w:val="18"/>
          <w:szCs w:val="18"/>
        </w:rPr>
        <w:t xml:space="preserve"> and verified enrichment in both inflamed tissues and those with treatment resistance.  Moreover, we validated an increased mononuclear phagocyte subset abundance in a Dextran Sulphate Sodium induced colitis model in C57Bl/6 mice representative of chronic inflammation.</w:t>
      </w:r>
    </w:p>
    <w:p w14:paraId="3A2A55A2" w14:textId="0C9CD09D" w:rsidR="00AE3E37" w:rsidRPr="004F1768" w:rsidRDefault="004F1768" w:rsidP="004F1768">
      <w:pPr>
        <w:pStyle w:val="Heading3"/>
        <w:spacing w:before="74"/>
        <w:rPr>
          <w:rFonts w:ascii="Tw Cen MT" w:eastAsia="Tw Cen MT" w:hAnsi="Tw Cen MT" w:cs="Tw Cen MT"/>
          <w:b w:val="0"/>
          <w:bCs w:val="0"/>
          <w:sz w:val="18"/>
          <w:szCs w:val="18"/>
        </w:rPr>
      </w:pPr>
      <w:r w:rsidRPr="004F1768">
        <w:rPr>
          <w:rFonts w:ascii="Tw Cen MT" w:eastAsia="Tw Cen MT" w:hAnsi="Tw Cen MT" w:cs="Tw Cen MT"/>
          <w:b w:val="0"/>
          <w:bCs w:val="0"/>
          <w:sz w:val="18"/>
          <w:szCs w:val="18"/>
        </w:rPr>
        <w:t>We conducted an extensive analysis of immune cell populations in IBD patient colonic samples and identified enriched subsets of monocytes, macrophages and dendritic cells in inflamed tissues.  Understanding how they interact with other immune cells and other cells in the colonic microenvironment such as epithelial and stromal cells will help us to delineate disease pathogenesis.</w:t>
      </w:r>
      <w:r w:rsidR="00A9710C">
        <w:rPr>
          <w:b w:val="0"/>
        </w:rPr>
        <w:br w:type="column"/>
      </w:r>
      <w:r w:rsidR="00A9710C">
        <w:rPr>
          <w:color w:val="BF5A14"/>
        </w:rPr>
        <w:t>Image</w:t>
      </w:r>
    </w:p>
    <w:p w14:paraId="3A2A55A3" w14:textId="5DA2146F" w:rsidR="00AE3E37" w:rsidRDefault="00D432F1">
      <w:pPr>
        <w:pStyle w:val="BodyText"/>
        <w:spacing w:before="2"/>
        <w:rPr>
          <w:rFonts w:ascii="Arial"/>
          <w:b/>
          <w:sz w:val="16"/>
        </w:rPr>
      </w:pPr>
      <w:r>
        <w:rPr>
          <w:rFonts w:ascii="Arial"/>
          <w:b/>
          <w:noProof/>
          <w:sz w:val="16"/>
        </w:rPr>
        <w:drawing>
          <wp:inline distT="0" distB="0" distL="0" distR="0" wp14:anchorId="6049F3FE" wp14:editId="746FFC33">
            <wp:extent cx="3328900" cy="209498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55265" cy="2111573"/>
                    </a:xfrm>
                    <a:prstGeom prst="rect">
                      <a:avLst/>
                    </a:prstGeom>
                    <a:noFill/>
                  </pic:spPr>
                </pic:pic>
              </a:graphicData>
            </a:graphic>
          </wp:inline>
        </w:drawing>
      </w:r>
    </w:p>
    <w:p w14:paraId="3A2A55A4" w14:textId="77777777" w:rsidR="005973B9" w:rsidRDefault="005973B9" w:rsidP="005973B9">
      <w:pPr>
        <w:spacing w:line="204" w:lineRule="exact"/>
        <w:rPr>
          <w:rFonts w:ascii="Arial"/>
          <w:b/>
          <w:sz w:val="20"/>
        </w:rPr>
      </w:pPr>
      <w:r>
        <w:rPr>
          <w:rFonts w:ascii="Arial"/>
          <w:b/>
          <w:color w:val="BF5A14"/>
          <w:sz w:val="20"/>
        </w:rPr>
        <w:br/>
        <w:t>Recent Publications (minimum 5)</w:t>
      </w:r>
    </w:p>
    <w:p w14:paraId="3A2A55A5" w14:textId="7277005D" w:rsidR="005973B9" w:rsidRDefault="00A040DC" w:rsidP="005973B9">
      <w:pPr>
        <w:pStyle w:val="ListParagraph"/>
        <w:numPr>
          <w:ilvl w:val="0"/>
          <w:numId w:val="3"/>
        </w:numPr>
        <w:tabs>
          <w:tab w:val="left" w:pos="384"/>
        </w:tabs>
        <w:spacing w:before="103" w:line="216" w:lineRule="exact"/>
        <w:ind w:right="138" w:hanging="283"/>
        <w:rPr>
          <w:sz w:val="18"/>
        </w:rPr>
      </w:pPr>
      <w:r>
        <w:rPr>
          <w:sz w:val="18"/>
        </w:rPr>
        <w:t>Liu H</w:t>
      </w:r>
      <w:r w:rsidRPr="00A040DC">
        <w:rPr>
          <w:sz w:val="18"/>
        </w:rPr>
        <w:t>, Dasgupta S, Fu Y, Bailey B, Roy C, Lightcap E, Faustin B</w:t>
      </w:r>
      <w:r w:rsidR="005973B9">
        <w:rPr>
          <w:sz w:val="18"/>
        </w:rPr>
        <w:t xml:space="preserve"> (20</w:t>
      </w:r>
      <w:r>
        <w:rPr>
          <w:sz w:val="18"/>
        </w:rPr>
        <w:t>1</w:t>
      </w:r>
      <w:r w:rsidR="005973B9">
        <w:rPr>
          <w:sz w:val="18"/>
        </w:rPr>
        <w:t xml:space="preserve">9) </w:t>
      </w:r>
      <w:r w:rsidRPr="00A040DC">
        <w:rPr>
          <w:sz w:val="18"/>
        </w:rPr>
        <w:t>Subsets of mononuclear phagocytes are enriched in the inflamed colons of patients with IBD</w:t>
      </w:r>
      <w:r w:rsidR="005973B9" w:rsidRPr="005973B9">
        <w:rPr>
          <w:sz w:val="18"/>
        </w:rPr>
        <w:t xml:space="preserve">. </w:t>
      </w:r>
      <w:r>
        <w:rPr>
          <w:sz w:val="18"/>
        </w:rPr>
        <w:t>BMC Immunol. 20:42</w:t>
      </w:r>
      <w:r w:rsidR="005973B9" w:rsidRPr="005973B9">
        <w:rPr>
          <w:sz w:val="18"/>
        </w:rPr>
        <w:t>.</w:t>
      </w:r>
    </w:p>
    <w:p w14:paraId="3A2A55A6" w14:textId="4DE98AA9" w:rsidR="005973B9" w:rsidRDefault="001E7B50" w:rsidP="005973B9">
      <w:pPr>
        <w:pStyle w:val="ListParagraph"/>
        <w:numPr>
          <w:ilvl w:val="0"/>
          <w:numId w:val="3"/>
        </w:numPr>
        <w:tabs>
          <w:tab w:val="left" w:pos="384"/>
        </w:tabs>
        <w:spacing w:line="216" w:lineRule="exact"/>
        <w:ind w:right="137" w:hanging="283"/>
        <w:rPr>
          <w:sz w:val="18"/>
        </w:rPr>
      </w:pPr>
      <w:r w:rsidRPr="001E7B50">
        <w:rPr>
          <w:sz w:val="18"/>
        </w:rPr>
        <w:t xml:space="preserve">Liu H, Liu J, Toups M, </w:t>
      </w:r>
      <w:proofErr w:type="spellStart"/>
      <w:r w:rsidRPr="001E7B50">
        <w:rPr>
          <w:sz w:val="18"/>
        </w:rPr>
        <w:t>Soos</w:t>
      </w:r>
      <w:proofErr w:type="spellEnd"/>
      <w:r w:rsidRPr="001E7B50">
        <w:rPr>
          <w:sz w:val="18"/>
        </w:rPr>
        <w:t xml:space="preserve"> T, Arendt C</w:t>
      </w:r>
      <w:r>
        <w:rPr>
          <w:sz w:val="18"/>
        </w:rPr>
        <w:t xml:space="preserve"> </w:t>
      </w:r>
      <w:r w:rsidR="005973B9">
        <w:rPr>
          <w:sz w:val="18"/>
        </w:rPr>
        <w:t>(20</w:t>
      </w:r>
      <w:r>
        <w:rPr>
          <w:sz w:val="18"/>
        </w:rPr>
        <w:t>1</w:t>
      </w:r>
      <w:r w:rsidR="005973B9">
        <w:rPr>
          <w:sz w:val="18"/>
        </w:rPr>
        <w:t>6</w:t>
      </w:r>
      <w:r>
        <w:rPr>
          <w:sz w:val="18"/>
        </w:rPr>
        <w:t>)</w:t>
      </w:r>
      <w:r w:rsidRPr="001E7B50">
        <w:t xml:space="preserve"> </w:t>
      </w:r>
      <w:r w:rsidRPr="001E7B50">
        <w:rPr>
          <w:sz w:val="18"/>
        </w:rPr>
        <w:t>Gene signature-based mapping of immunological systems and diseases</w:t>
      </w:r>
      <w:r w:rsidR="005973B9">
        <w:rPr>
          <w:sz w:val="18"/>
        </w:rPr>
        <w:t xml:space="preserve">. </w:t>
      </w:r>
      <w:r>
        <w:rPr>
          <w:sz w:val="18"/>
        </w:rPr>
        <w:t>BMC Bioinformatics</w:t>
      </w:r>
      <w:r w:rsidR="005973B9">
        <w:rPr>
          <w:sz w:val="18"/>
        </w:rPr>
        <w:t xml:space="preserve"> 1</w:t>
      </w:r>
      <w:r>
        <w:rPr>
          <w:sz w:val="18"/>
        </w:rPr>
        <w:t>7:171</w:t>
      </w:r>
      <w:r w:rsidR="005973B9">
        <w:rPr>
          <w:sz w:val="18"/>
        </w:rPr>
        <w:t>.</w:t>
      </w:r>
    </w:p>
    <w:p w14:paraId="3A2A55A7" w14:textId="526CBCFE" w:rsidR="005973B9" w:rsidRDefault="004B2926" w:rsidP="005973B9">
      <w:pPr>
        <w:pStyle w:val="ListParagraph"/>
        <w:numPr>
          <w:ilvl w:val="0"/>
          <w:numId w:val="3"/>
        </w:numPr>
        <w:tabs>
          <w:tab w:val="left" w:pos="384"/>
        </w:tabs>
        <w:spacing w:line="216" w:lineRule="exact"/>
        <w:ind w:right="138" w:hanging="283"/>
        <w:rPr>
          <w:sz w:val="18"/>
        </w:rPr>
      </w:pPr>
      <w:proofErr w:type="spellStart"/>
      <w:r w:rsidRPr="004B2926">
        <w:rPr>
          <w:sz w:val="18"/>
        </w:rPr>
        <w:t>Aran</w:t>
      </w:r>
      <w:proofErr w:type="spellEnd"/>
      <w:r w:rsidRPr="004B2926">
        <w:rPr>
          <w:sz w:val="18"/>
        </w:rPr>
        <w:t xml:space="preserve"> D, Hu Z, Butte AJ</w:t>
      </w:r>
      <w:r w:rsidRPr="004B2926">
        <w:rPr>
          <w:sz w:val="18"/>
        </w:rPr>
        <w:t xml:space="preserve"> </w:t>
      </w:r>
      <w:r w:rsidR="005973B9">
        <w:rPr>
          <w:sz w:val="18"/>
        </w:rPr>
        <w:t>(20</w:t>
      </w:r>
      <w:r w:rsidR="0046333D">
        <w:rPr>
          <w:sz w:val="18"/>
        </w:rPr>
        <w:t>17</w:t>
      </w:r>
      <w:r w:rsidR="005973B9">
        <w:rPr>
          <w:sz w:val="18"/>
        </w:rPr>
        <w:t>)</w:t>
      </w:r>
      <w:r w:rsidR="0046333D" w:rsidRPr="0046333D">
        <w:t xml:space="preserve"> </w:t>
      </w:r>
      <w:proofErr w:type="spellStart"/>
      <w:r w:rsidR="0046333D" w:rsidRPr="0046333D">
        <w:rPr>
          <w:sz w:val="18"/>
        </w:rPr>
        <w:t>xCell</w:t>
      </w:r>
      <w:proofErr w:type="spellEnd"/>
      <w:r w:rsidR="0046333D" w:rsidRPr="0046333D">
        <w:rPr>
          <w:sz w:val="18"/>
        </w:rPr>
        <w:t>: digitally portraying the tissue cellular heterogeneity landscape.</w:t>
      </w:r>
      <w:r w:rsidR="0046333D" w:rsidRPr="0046333D">
        <w:rPr>
          <w:sz w:val="18"/>
        </w:rPr>
        <w:t xml:space="preserve"> </w:t>
      </w:r>
      <w:r w:rsidR="0046333D">
        <w:rPr>
          <w:sz w:val="18"/>
        </w:rPr>
        <w:t>Genome Biol.</w:t>
      </w:r>
      <w:r w:rsidR="005973B9">
        <w:rPr>
          <w:sz w:val="18"/>
        </w:rPr>
        <w:t xml:space="preserve"> </w:t>
      </w:r>
      <w:r w:rsidR="0046333D">
        <w:rPr>
          <w:sz w:val="18"/>
        </w:rPr>
        <w:t>18</w:t>
      </w:r>
      <w:r w:rsidR="005973B9">
        <w:rPr>
          <w:sz w:val="18"/>
        </w:rPr>
        <w:t>:</w:t>
      </w:r>
      <w:r w:rsidR="0046333D">
        <w:rPr>
          <w:sz w:val="18"/>
        </w:rPr>
        <w:t>220</w:t>
      </w:r>
      <w:r w:rsidR="005973B9">
        <w:rPr>
          <w:sz w:val="18"/>
        </w:rPr>
        <w:t>.</w:t>
      </w:r>
    </w:p>
    <w:p w14:paraId="3A2A55A9" w14:textId="71446943" w:rsidR="005973B9" w:rsidRPr="00A21616" w:rsidRDefault="00A21616" w:rsidP="00A21616">
      <w:pPr>
        <w:pStyle w:val="ListParagraph"/>
        <w:numPr>
          <w:ilvl w:val="0"/>
          <w:numId w:val="3"/>
        </w:numPr>
        <w:tabs>
          <w:tab w:val="left" w:pos="384"/>
        </w:tabs>
        <w:spacing w:before="92" w:line="218" w:lineRule="exact"/>
        <w:ind w:hanging="283"/>
        <w:rPr>
          <w:sz w:val="18"/>
        </w:rPr>
      </w:pPr>
      <w:r w:rsidRPr="00A21616">
        <w:rPr>
          <w:sz w:val="18"/>
        </w:rPr>
        <w:t xml:space="preserve">Villani AC, </w:t>
      </w:r>
      <w:r>
        <w:rPr>
          <w:sz w:val="18"/>
        </w:rPr>
        <w:t>et al.</w:t>
      </w:r>
      <w:r w:rsidRPr="00A21616">
        <w:rPr>
          <w:sz w:val="18"/>
        </w:rPr>
        <w:t xml:space="preserve"> </w:t>
      </w:r>
      <w:r w:rsidR="005973B9">
        <w:rPr>
          <w:sz w:val="18"/>
        </w:rPr>
        <w:t>(20</w:t>
      </w:r>
      <w:r>
        <w:rPr>
          <w:sz w:val="18"/>
        </w:rPr>
        <w:t>17</w:t>
      </w:r>
      <w:r w:rsidR="005973B9">
        <w:rPr>
          <w:sz w:val="18"/>
        </w:rPr>
        <w:t xml:space="preserve">) </w:t>
      </w:r>
      <w:r w:rsidRPr="00A21616">
        <w:rPr>
          <w:sz w:val="18"/>
        </w:rPr>
        <w:t>Single-cell RNA-seq reveals new types of human blood dendritic cells, monocytes, and progenitors</w:t>
      </w:r>
      <w:r w:rsidR="005973B9" w:rsidRPr="005973B9">
        <w:rPr>
          <w:sz w:val="18"/>
        </w:rPr>
        <w:t xml:space="preserve">. </w:t>
      </w:r>
      <w:r>
        <w:rPr>
          <w:sz w:val="18"/>
        </w:rPr>
        <w:t>Science 356:6335</w:t>
      </w:r>
      <w:r w:rsidR="005973B9" w:rsidRPr="00A21616">
        <w:t>.</w:t>
      </w:r>
    </w:p>
    <w:p w14:paraId="3A2A55AA" w14:textId="14945C43" w:rsidR="005973B9" w:rsidRDefault="00A87A29" w:rsidP="00A87A29">
      <w:pPr>
        <w:pStyle w:val="BodyText"/>
        <w:numPr>
          <w:ilvl w:val="0"/>
          <w:numId w:val="3"/>
        </w:numPr>
        <w:spacing w:before="85" w:line="216" w:lineRule="exact"/>
        <w:ind w:right="138"/>
        <w:jc w:val="both"/>
        <w:rPr>
          <w:rFonts w:ascii="Calibri" w:hAnsi="Calibri"/>
        </w:rPr>
      </w:pPr>
      <w:r w:rsidRPr="00A87A29">
        <w:rPr>
          <w:rFonts w:ascii="Calibri" w:hAnsi="Calibri"/>
        </w:rPr>
        <w:t>Martin JC</w:t>
      </w:r>
      <w:r w:rsidRPr="00A87A29">
        <w:rPr>
          <w:rFonts w:ascii="Calibri" w:hAnsi="Calibri"/>
        </w:rPr>
        <w:t xml:space="preserve"> </w:t>
      </w:r>
      <w:r>
        <w:rPr>
          <w:rFonts w:ascii="Calibri" w:hAnsi="Calibri"/>
        </w:rPr>
        <w:t xml:space="preserve">et al. </w:t>
      </w:r>
      <w:r w:rsidR="005973B9">
        <w:rPr>
          <w:rFonts w:ascii="Calibri" w:hAnsi="Calibri"/>
        </w:rPr>
        <w:t>(20</w:t>
      </w:r>
      <w:r>
        <w:rPr>
          <w:rFonts w:ascii="Calibri" w:hAnsi="Calibri"/>
        </w:rPr>
        <w:t>19</w:t>
      </w:r>
      <w:r w:rsidR="005973B9">
        <w:rPr>
          <w:rFonts w:ascii="Calibri" w:hAnsi="Calibri"/>
        </w:rPr>
        <w:t xml:space="preserve">) </w:t>
      </w:r>
      <w:r w:rsidRPr="00A87A29">
        <w:rPr>
          <w:rFonts w:ascii="Calibri" w:hAnsi="Calibri"/>
        </w:rPr>
        <w:t>Single-Cell Analysis of Crohn's Disease Lesions Identifies a Pathogenic Cellular Module Associated with Resistance to Anti-TNF Therapy.</w:t>
      </w:r>
      <w:r w:rsidRPr="00A87A29">
        <w:rPr>
          <w:rFonts w:ascii="Calibri" w:hAnsi="Calibri"/>
        </w:rPr>
        <w:t xml:space="preserve"> </w:t>
      </w:r>
      <w:r>
        <w:rPr>
          <w:rFonts w:ascii="Calibri" w:hAnsi="Calibri"/>
        </w:rPr>
        <w:t>Cell 178: 1493</w:t>
      </w:r>
      <w:r w:rsidR="005973B9">
        <w:rPr>
          <w:rFonts w:ascii="Calibri" w:hAnsi="Calibri"/>
        </w:rPr>
        <w:t>.</w:t>
      </w:r>
    </w:p>
    <w:p w14:paraId="3A2A55AB" w14:textId="77777777" w:rsidR="00AE3E37" w:rsidRPr="008756E6" w:rsidRDefault="00AE3E37" w:rsidP="008756E6">
      <w:pPr>
        <w:tabs>
          <w:tab w:val="left" w:pos="384"/>
        </w:tabs>
        <w:ind w:right="117"/>
      </w:pPr>
    </w:p>
    <w:p w14:paraId="3A2A55AC"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A2A55AD" w14:textId="77777777" w:rsidR="00AE3E37" w:rsidRDefault="00AE3E37">
      <w:pPr>
        <w:pStyle w:val="BodyText"/>
        <w:rPr>
          <w:rFonts w:ascii="Calibri"/>
          <w:sz w:val="20"/>
        </w:rPr>
      </w:pPr>
    </w:p>
    <w:p w14:paraId="3A2A55AE"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A2A55BB" wp14:editId="3A2A55B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9C5400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A2A55AF" w14:textId="7092D814" w:rsidR="00AE3E37" w:rsidRDefault="008756E6" w:rsidP="00404E5B">
      <w:pPr>
        <w:spacing w:before="92"/>
        <w:ind w:right="4234"/>
        <w:rPr>
          <w:rFonts w:ascii="Arial"/>
        </w:rPr>
      </w:pPr>
      <w:r>
        <w:rPr>
          <w:noProof/>
        </w:rPr>
        <w:t xml:space="preserve">              </w:t>
      </w:r>
      <w:r w:rsidR="00057073">
        <w:rPr>
          <w:noProof/>
        </w:rPr>
        <w:drawing>
          <wp:inline distT="0" distB="0" distL="0" distR="0" wp14:anchorId="144EDCD4" wp14:editId="1D4435C6">
            <wp:extent cx="447047" cy="684419"/>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3110" cy="709011"/>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3A2A55B0" w14:textId="0B1CF2DB" w:rsidR="00AE3E37" w:rsidRDefault="005348E8">
      <w:pPr>
        <w:spacing w:before="41" w:line="154" w:lineRule="exact"/>
        <w:ind w:left="213" w:right="231"/>
        <w:jc w:val="both"/>
        <w:rPr>
          <w:rFonts w:ascii="Arial"/>
          <w:sz w:val="14"/>
        </w:rPr>
      </w:pPr>
      <w:r>
        <w:rPr>
          <w:rFonts w:ascii="Arial"/>
          <w:sz w:val="14"/>
        </w:rPr>
        <w:t xml:space="preserve">Dr. Hong Liu is an </w:t>
      </w:r>
      <w:r w:rsidR="004D34B3">
        <w:rPr>
          <w:rFonts w:ascii="Arial"/>
          <w:sz w:val="14"/>
        </w:rPr>
        <w:t xml:space="preserve">associate director of computational biology in Takeda.  </w:t>
      </w:r>
      <w:r w:rsidR="00317EA4">
        <w:rPr>
          <w:rFonts w:ascii="Arial"/>
          <w:sz w:val="14"/>
        </w:rPr>
        <w:t xml:space="preserve">She has extensive industry experience in management of research projects and their translation to development, in the fields of target identification and validation, indication evaluation, as well as biomarker discovery for patient stratification and translational science strategies. </w:t>
      </w:r>
      <w:r w:rsidR="00D96DA8">
        <w:rPr>
          <w:rFonts w:ascii="Arial"/>
          <w:sz w:val="14"/>
        </w:rPr>
        <w:t xml:space="preserve"> Dr. Liu has developed</w:t>
      </w:r>
      <w:r w:rsidR="00CB6497">
        <w:rPr>
          <w:rFonts w:ascii="Arial"/>
          <w:sz w:val="14"/>
        </w:rPr>
        <w:t xml:space="preserve"> </w:t>
      </w:r>
      <w:r w:rsidR="00D96DA8">
        <w:rPr>
          <w:rFonts w:ascii="Arial"/>
          <w:sz w:val="14"/>
        </w:rPr>
        <w:t>gene signature</w:t>
      </w:r>
      <w:r w:rsidR="00CB6497">
        <w:rPr>
          <w:rFonts w:ascii="Arial"/>
          <w:sz w:val="14"/>
        </w:rPr>
        <w:t>-</w:t>
      </w:r>
      <w:r w:rsidR="00D96DA8">
        <w:rPr>
          <w:rFonts w:ascii="Arial"/>
          <w:sz w:val="14"/>
        </w:rPr>
        <w:t xml:space="preserve">based analysis </w:t>
      </w:r>
      <w:r w:rsidR="00CB6497">
        <w:rPr>
          <w:rFonts w:ascii="Arial"/>
          <w:sz w:val="14"/>
        </w:rPr>
        <w:t>and</w:t>
      </w:r>
      <w:r w:rsidR="00D96DA8">
        <w:rPr>
          <w:rFonts w:ascii="Arial"/>
          <w:sz w:val="14"/>
        </w:rPr>
        <w:t xml:space="preserve"> buil</w:t>
      </w:r>
      <w:r w:rsidR="00CB6497">
        <w:rPr>
          <w:rFonts w:ascii="Arial"/>
          <w:sz w:val="14"/>
        </w:rPr>
        <w:t>t</w:t>
      </w:r>
      <w:r w:rsidR="00D96DA8" w:rsidRPr="00D96DA8">
        <w:rPr>
          <w:rFonts w:ascii="Arial"/>
          <w:sz w:val="14"/>
        </w:rPr>
        <w:t xml:space="preserve"> modular </w:t>
      </w:r>
      <w:r w:rsidR="00D96DA8" w:rsidRPr="00D96DA8">
        <w:rPr>
          <w:rFonts w:ascii="Arial"/>
          <w:sz w:val="14"/>
        </w:rPr>
        <w:t>‘</w:t>
      </w:r>
      <w:proofErr w:type="spellStart"/>
      <w:r w:rsidR="00EE341D">
        <w:rPr>
          <w:rFonts w:ascii="Arial"/>
          <w:sz w:val="14"/>
        </w:rPr>
        <w:t>b</w:t>
      </w:r>
      <w:bookmarkStart w:id="0" w:name="_GoBack"/>
      <w:bookmarkEnd w:id="0"/>
      <w:r w:rsidR="00D96DA8" w:rsidRPr="00D96DA8">
        <w:rPr>
          <w:rFonts w:ascii="Arial"/>
          <w:sz w:val="14"/>
        </w:rPr>
        <w:t>iomap</w:t>
      </w:r>
      <w:proofErr w:type="spellEnd"/>
      <w:r w:rsidR="00D96DA8" w:rsidRPr="00D96DA8">
        <w:rPr>
          <w:rFonts w:ascii="Arial"/>
          <w:sz w:val="14"/>
        </w:rPr>
        <w:t>’</w:t>
      </w:r>
      <w:r w:rsidR="00D96DA8">
        <w:rPr>
          <w:rFonts w:ascii="Arial"/>
          <w:sz w:val="14"/>
        </w:rPr>
        <w:t xml:space="preserve"> which</w:t>
      </w:r>
      <w:r w:rsidR="00D96DA8" w:rsidRPr="00D96DA8">
        <w:rPr>
          <w:rFonts w:ascii="Arial"/>
          <w:sz w:val="14"/>
        </w:rPr>
        <w:t xml:space="preserve"> reveals the linkages between different diseases and immune subtypes</w:t>
      </w:r>
      <w:r w:rsidR="008876AC">
        <w:rPr>
          <w:rFonts w:ascii="Arial"/>
          <w:sz w:val="14"/>
        </w:rPr>
        <w:t xml:space="preserve"> </w:t>
      </w:r>
      <w:r w:rsidR="00D96DA8" w:rsidRPr="00D96DA8">
        <w:rPr>
          <w:rFonts w:ascii="Arial"/>
          <w:sz w:val="14"/>
        </w:rPr>
        <w:t>and provides evidence for the presence of specific immunocyte subsets in mixed</w:t>
      </w:r>
      <w:r w:rsidR="00CB6497">
        <w:rPr>
          <w:rFonts w:ascii="Arial"/>
          <w:sz w:val="14"/>
        </w:rPr>
        <w:t xml:space="preserve"> disease</w:t>
      </w:r>
      <w:r w:rsidR="00D96DA8" w:rsidRPr="00D96DA8">
        <w:rPr>
          <w:rFonts w:ascii="Arial"/>
          <w:sz w:val="14"/>
        </w:rPr>
        <w:t xml:space="preserve"> tissues</w:t>
      </w:r>
      <w:r w:rsidR="00D96DA8">
        <w:rPr>
          <w:rFonts w:ascii="Arial"/>
          <w:sz w:val="14"/>
        </w:rPr>
        <w:t xml:space="preserve">. </w:t>
      </w:r>
      <w:r w:rsidR="00D96DA8" w:rsidRPr="00D96DA8">
        <w:rPr>
          <w:rFonts w:ascii="Arial"/>
          <w:sz w:val="14"/>
        </w:rPr>
        <w:t xml:space="preserve"> </w:t>
      </w:r>
      <w:r w:rsidR="00D1409A">
        <w:rPr>
          <w:rFonts w:ascii="Arial"/>
          <w:sz w:val="14"/>
        </w:rPr>
        <w:t>One of her</w:t>
      </w:r>
      <w:r w:rsidR="00634E66">
        <w:rPr>
          <w:rFonts w:ascii="Arial"/>
          <w:sz w:val="14"/>
        </w:rPr>
        <w:t xml:space="preserve"> current </w:t>
      </w:r>
      <w:r w:rsidR="00CB6497">
        <w:rPr>
          <w:rFonts w:ascii="Arial"/>
          <w:sz w:val="14"/>
        </w:rPr>
        <w:t>publication</w:t>
      </w:r>
      <w:r w:rsidR="00634E66">
        <w:rPr>
          <w:rFonts w:ascii="Arial"/>
          <w:sz w:val="14"/>
        </w:rPr>
        <w:t xml:space="preserve"> is to d</w:t>
      </w:r>
      <w:r w:rsidR="00B54432">
        <w:rPr>
          <w:rFonts w:ascii="Arial"/>
          <w:sz w:val="14"/>
        </w:rPr>
        <w:t>e</w:t>
      </w:r>
      <w:r w:rsidR="00634E66">
        <w:rPr>
          <w:rFonts w:ascii="Arial"/>
          <w:sz w:val="14"/>
        </w:rPr>
        <w:t>con</w:t>
      </w:r>
      <w:r w:rsidR="00B54432">
        <w:rPr>
          <w:rFonts w:ascii="Arial"/>
          <w:sz w:val="14"/>
        </w:rPr>
        <w:t>volute immune cell contexture in biopsies fr</w:t>
      </w:r>
      <w:r w:rsidR="00CB6497">
        <w:rPr>
          <w:rFonts w:ascii="Arial"/>
          <w:sz w:val="14"/>
        </w:rPr>
        <w:t xml:space="preserve">om IBD patients.  </w:t>
      </w:r>
      <w:r w:rsidR="00101C3F">
        <w:rPr>
          <w:rFonts w:ascii="Arial"/>
          <w:sz w:val="14"/>
        </w:rPr>
        <w:t>Both</w:t>
      </w:r>
      <w:r w:rsidR="00CB6497">
        <w:rPr>
          <w:rFonts w:ascii="Arial"/>
          <w:sz w:val="14"/>
        </w:rPr>
        <w:t xml:space="preserve"> </w:t>
      </w:r>
      <w:r w:rsidR="00CB6497" w:rsidRPr="00CB6497">
        <w:rPr>
          <w:rFonts w:ascii="Arial"/>
          <w:i/>
          <w:sz w:val="14"/>
        </w:rPr>
        <w:t>in silico</w:t>
      </w:r>
      <w:r w:rsidR="00CB6497">
        <w:rPr>
          <w:rFonts w:ascii="Arial"/>
          <w:sz w:val="14"/>
        </w:rPr>
        <w:t xml:space="preserve"> </w:t>
      </w:r>
      <w:r w:rsidR="00101C3F">
        <w:rPr>
          <w:rFonts w:ascii="Arial"/>
          <w:sz w:val="14"/>
        </w:rPr>
        <w:t>analyses and mouse model validation</w:t>
      </w:r>
      <w:r w:rsidR="00CB6497">
        <w:rPr>
          <w:rFonts w:ascii="Arial"/>
          <w:sz w:val="14"/>
        </w:rPr>
        <w:t xml:space="preserve"> </w:t>
      </w:r>
      <w:r w:rsidR="00CB6497" w:rsidRPr="00CB6497">
        <w:rPr>
          <w:rFonts w:ascii="Arial"/>
          <w:sz w:val="14"/>
        </w:rPr>
        <w:t xml:space="preserve">showed elevated immune cells, especially mononuclear phagocytes in inflamed colon mucosa biopsies.  </w:t>
      </w:r>
      <w:r w:rsidR="00CB6497">
        <w:rPr>
          <w:rFonts w:ascii="Arial"/>
          <w:sz w:val="14"/>
        </w:rPr>
        <w:t>In addition, d</w:t>
      </w:r>
      <w:r w:rsidR="00CB6497" w:rsidRPr="00CB6497">
        <w:rPr>
          <w:rFonts w:ascii="Arial"/>
          <w:sz w:val="14"/>
        </w:rPr>
        <w:t>istinct cell type patterns were observed in patients with response vs. resistance to current biological therapies.</w:t>
      </w:r>
    </w:p>
    <w:p w14:paraId="3A2A55B1" w14:textId="50707892" w:rsidR="00AE3E37" w:rsidRPr="00BE5DEF" w:rsidRDefault="00A9710C">
      <w:pPr>
        <w:spacing w:before="62"/>
        <w:ind w:left="4217" w:right="4235"/>
        <w:jc w:val="center"/>
        <w:rPr>
          <w:rFonts w:ascii="Arial"/>
          <w:sz w:val="14"/>
          <w:lang w:val="fr-FR"/>
        </w:rPr>
      </w:pPr>
      <w:proofErr w:type="gramStart"/>
      <w:r w:rsidRPr="00BE5DEF">
        <w:rPr>
          <w:rFonts w:ascii="Arial"/>
          <w:sz w:val="14"/>
          <w:lang w:val="fr-FR"/>
        </w:rPr>
        <w:t>Email:</w:t>
      </w:r>
      <w:proofErr w:type="gramEnd"/>
      <w:r w:rsidRPr="00BE5DEF">
        <w:rPr>
          <w:rFonts w:ascii="Arial"/>
          <w:sz w:val="14"/>
          <w:lang w:val="fr-FR"/>
        </w:rPr>
        <w:t xml:space="preserve"> </w:t>
      </w:r>
      <w:r w:rsidR="00BE5DEF" w:rsidRPr="00BE5DEF">
        <w:rPr>
          <w:rFonts w:ascii="Arial"/>
          <w:sz w:val="14"/>
          <w:lang w:val="fr-FR"/>
        </w:rPr>
        <w:t>hong.l</w:t>
      </w:r>
      <w:r w:rsidR="00BE5DEF">
        <w:rPr>
          <w:rFonts w:ascii="Arial"/>
          <w:sz w:val="14"/>
          <w:lang w:val="fr-FR"/>
        </w:rPr>
        <w:t>iu@takeda.com</w:t>
      </w:r>
    </w:p>
    <w:p w14:paraId="3A2A55B2" w14:textId="77777777" w:rsidR="00AE3E37" w:rsidRPr="00BE5DEF" w:rsidRDefault="00292ED9">
      <w:pPr>
        <w:pStyle w:val="BodyText"/>
        <w:spacing w:before="2"/>
        <w:rPr>
          <w:rFonts w:ascii="Arial"/>
          <w:sz w:val="19"/>
          <w:lang w:val="fr-FR"/>
        </w:rPr>
      </w:pPr>
      <w:r>
        <w:rPr>
          <w:noProof/>
          <w:lang w:val="en-IN" w:eastAsia="en-IN"/>
        </w:rPr>
        <mc:AlternateContent>
          <mc:Choice Requires="wps">
            <w:drawing>
              <wp:anchor distT="0" distB="0" distL="0" distR="0" simplePos="0" relativeHeight="1072" behindDoc="0" locked="0" layoutInCell="1" allowOverlap="1" wp14:anchorId="3A2A55BF" wp14:editId="3A2A55C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7E575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A2A55B3" w14:textId="77777777" w:rsidR="00AE3E37" w:rsidRPr="00BE5DEF" w:rsidRDefault="00AE3E37">
      <w:pPr>
        <w:pStyle w:val="BodyText"/>
        <w:rPr>
          <w:rFonts w:ascii="Arial"/>
          <w:sz w:val="20"/>
          <w:lang w:val="fr-FR"/>
        </w:rPr>
      </w:pPr>
    </w:p>
    <w:p w14:paraId="3A2A55B4" w14:textId="77777777" w:rsidR="00AE3E37" w:rsidRPr="00BE5DEF" w:rsidRDefault="00AE3E37">
      <w:pPr>
        <w:pStyle w:val="BodyText"/>
        <w:rPr>
          <w:rFonts w:ascii="Arial"/>
          <w:sz w:val="20"/>
          <w:lang w:val="fr-FR"/>
        </w:rPr>
      </w:pPr>
    </w:p>
    <w:p w14:paraId="3A2A55B5" w14:textId="77777777" w:rsidR="00AE3E37" w:rsidRPr="00BE5DEF" w:rsidRDefault="00AE3E37">
      <w:pPr>
        <w:pStyle w:val="BodyText"/>
        <w:spacing w:before="7"/>
        <w:rPr>
          <w:rFonts w:ascii="Arial"/>
          <w:sz w:val="29"/>
          <w:lang w:val="fr-FR"/>
        </w:rPr>
      </w:pPr>
    </w:p>
    <w:p w14:paraId="3A2A55B6" w14:textId="77777777" w:rsidR="00AE3E37" w:rsidRPr="00BE5DEF" w:rsidRDefault="00A9710C">
      <w:pPr>
        <w:spacing w:before="39"/>
        <w:ind w:left="100"/>
        <w:rPr>
          <w:rFonts w:ascii="Minion Pro"/>
          <w:b/>
          <w:sz w:val="20"/>
          <w:lang w:val="fr-FR"/>
        </w:rPr>
      </w:pPr>
      <w:r w:rsidRPr="00BE5DEF">
        <w:rPr>
          <w:rFonts w:ascii="Minion Pro"/>
          <w:b/>
          <w:sz w:val="20"/>
          <w:lang w:val="fr-FR"/>
        </w:rPr>
        <w:t>Notes/</w:t>
      </w:r>
      <w:proofErr w:type="spellStart"/>
      <w:proofErr w:type="gramStart"/>
      <w:r w:rsidRPr="00BE5DEF">
        <w:rPr>
          <w:rFonts w:ascii="Minion Pro"/>
          <w:b/>
          <w:sz w:val="20"/>
          <w:lang w:val="fr-FR"/>
        </w:rPr>
        <w:t>Comments</w:t>
      </w:r>
      <w:proofErr w:type="spellEnd"/>
      <w:r w:rsidRPr="00BE5DEF">
        <w:rPr>
          <w:rFonts w:ascii="Minion Pro"/>
          <w:b/>
          <w:sz w:val="20"/>
          <w:lang w:val="fr-FR"/>
        </w:rPr>
        <w:t>:</w:t>
      </w:r>
      <w:proofErr w:type="gramEnd"/>
    </w:p>
    <w:p w14:paraId="3A2A55B7" w14:textId="77777777" w:rsidR="00AE3E37" w:rsidRPr="00BE5DEF" w:rsidRDefault="00AE3E37">
      <w:pPr>
        <w:rPr>
          <w:rFonts w:ascii="Minion Pro"/>
          <w:sz w:val="24"/>
          <w:lang w:val="fr-FR"/>
        </w:rPr>
        <w:sectPr w:rsidR="00AE3E37" w:rsidRPr="00BE5DEF">
          <w:type w:val="continuous"/>
          <w:pgSz w:w="11910" w:h="16840"/>
          <w:pgMar w:top="1740" w:right="600" w:bottom="840" w:left="620" w:header="720" w:footer="720" w:gutter="0"/>
          <w:cols w:space="720"/>
        </w:sectPr>
      </w:pPr>
    </w:p>
    <w:p w14:paraId="3A2A55B8" w14:textId="77777777" w:rsidR="00AE3E37" w:rsidRPr="00BE5DEF" w:rsidRDefault="00AE3E37">
      <w:pPr>
        <w:pStyle w:val="BodyText"/>
        <w:spacing w:before="3"/>
        <w:rPr>
          <w:rFonts w:ascii="Minion Pro"/>
          <w:sz w:val="26"/>
          <w:lang w:val="fr-FR"/>
        </w:rPr>
      </w:pPr>
    </w:p>
    <w:sectPr w:rsidR="00AE3E37" w:rsidRPr="00BE5DEF"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2A55C3" w14:textId="77777777" w:rsidR="00FC55FC" w:rsidRDefault="00FC55FC">
      <w:r>
        <w:separator/>
      </w:r>
    </w:p>
  </w:endnote>
  <w:endnote w:type="continuationSeparator" w:id="0">
    <w:p w14:paraId="3A2A55C4" w14:textId="77777777"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A55C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A2A55CB" wp14:editId="3A2A55C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2A55D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A2A55D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2A55CB"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3A2A55D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A2A55D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A2A55CD" wp14:editId="3A2A55C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2A55D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A2A55D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2A55CD"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3A2A55D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A2A55D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A2A55CF" wp14:editId="3A2A55D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2A55D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A2A55D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2A55CF"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3A2A55D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A2A55D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2A55C1" w14:textId="77777777" w:rsidR="00FC55FC" w:rsidRDefault="00FC55FC">
      <w:r>
        <w:separator/>
      </w:r>
    </w:p>
  </w:footnote>
  <w:footnote w:type="continuationSeparator" w:id="0">
    <w:p w14:paraId="3A2A55C2" w14:textId="77777777" w:rsidR="00FC55FC" w:rsidRDefault="00FC5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A55C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A2A55C7" wp14:editId="3A2A55C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2A55D1" w14:textId="77777777" w:rsidR="00AE3E37" w:rsidRPr="004F1768" w:rsidRDefault="00A9710C">
                          <w:pPr>
                            <w:spacing w:before="2" w:line="249" w:lineRule="auto"/>
                            <w:ind w:left="156" w:right="18" w:hanging="137"/>
                            <w:rPr>
                              <w:rFonts w:ascii="Arial"/>
                              <w:color w:val="FFFFFF" w:themeColor="background1"/>
                              <w:sz w:val="14"/>
                              <w:lang w:val="fr-FR"/>
                            </w:rPr>
                          </w:pPr>
                          <w:r w:rsidRPr="004F1768">
                            <w:rPr>
                              <w:rFonts w:ascii="Arial"/>
                              <w:color w:val="FFFFFF" w:themeColor="background1"/>
                              <w:sz w:val="14"/>
                              <w:lang w:val="fr-FR"/>
                            </w:rPr>
                            <w:t xml:space="preserve">T Furuta et al., J Pai n Relief 2016, 5:3(Suppl) </w:t>
                          </w:r>
                          <w:r w:rsidR="00EE341D">
                            <w:fldChar w:fldCharType="begin"/>
                          </w:r>
                          <w:r w:rsidR="00EE341D" w:rsidRPr="004F1768">
                            <w:rPr>
                              <w:lang w:val="fr-FR"/>
                            </w:rPr>
                            <w:instrText xml:space="preserve"> HYPERLINK "http://dx.doi.org/10.4172/2167-0846.C1.006" \h </w:instrText>
                          </w:r>
                          <w:r w:rsidR="00EE341D">
                            <w:fldChar w:fldCharType="separate"/>
                          </w:r>
                          <w:r w:rsidRPr="004F1768">
                            <w:rPr>
                              <w:rFonts w:ascii="Arial"/>
                              <w:color w:val="FFFFFF" w:themeColor="background1"/>
                              <w:sz w:val="14"/>
                              <w:lang w:val="fr-FR"/>
                            </w:rPr>
                            <w:t>http://dx.doi.org/10.4172/2167-0846.C1.006</w:t>
                          </w:r>
                          <w:r w:rsidR="00EE341D">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2A55C7"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3A2A55D1" w14:textId="77777777" w:rsidR="00AE3E37" w:rsidRPr="004F1768" w:rsidRDefault="00A9710C">
                    <w:pPr>
                      <w:spacing w:before="2" w:line="249" w:lineRule="auto"/>
                      <w:ind w:left="156" w:right="18" w:hanging="137"/>
                      <w:rPr>
                        <w:rFonts w:ascii="Arial"/>
                        <w:color w:val="FFFFFF" w:themeColor="background1"/>
                        <w:sz w:val="14"/>
                        <w:lang w:val="fr-FR"/>
                      </w:rPr>
                    </w:pPr>
                    <w:r w:rsidRPr="004F1768">
                      <w:rPr>
                        <w:rFonts w:ascii="Arial"/>
                        <w:color w:val="FFFFFF" w:themeColor="background1"/>
                        <w:sz w:val="14"/>
                        <w:lang w:val="fr-FR"/>
                      </w:rPr>
                      <w:t xml:space="preserve">T Furuta et al., J Pai n Relief 2016, 5:3(Suppl) </w:t>
                    </w:r>
                    <w:r w:rsidR="00EE341D">
                      <w:fldChar w:fldCharType="begin"/>
                    </w:r>
                    <w:r w:rsidR="00EE341D" w:rsidRPr="004F1768">
                      <w:rPr>
                        <w:lang w:val="fr-FR"/>
                      </w:rPr>
                      <w:instrText xml:space="preserve"> HYPERLINK "http://dx.doi.org/10.4172/2167-0846.C1.006" \h </w:instrText>
                    </w:r>
                    <w:r w:rsidR="00EE341D">
                      <w:fldChar w:fldCharType="separate"/>
                    </w:r>
                    <w:r w:rsidRPr="004F1768">
                      <w:rPr>
                        <w:rFonts w:ascii="Arial"/>
                        <w:color w:val="FFFFFF" w:themeColor="background1"/>
                        <w:sz w:val="14"/>
                        <w:lang w:val="fr-FR"/>
                      </w:rPr>
                      <w:t>http://dx.doi.org/10.4172/2167-0846.C1.006</w:t>
                    </w:r>
                    <w:r w:rsidR="00EE341D">
                      <w:rPr>
                        <w:rFonts w:ascii="Arial"/>
                        <w:color w:val="FFFFFF" w:themeColor="background1"/>
                        <w:sz w:val="14"/>
                      </w:rPr>
                      <w:fldChar w:fldCharType="end"/>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A2A55C9" wp14:editId="3A2A55C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2A55D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A2A55D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2A55C9"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3A2A55D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A2A55D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7073"/>
    <w:rsid w:val="000D34D6"/>
    <w:rsid w:val="000E2911"/>
    <w:rsid w:val="00101C3F"/>
    <w:rsid w:val="001263DF"/>
    <w:rsid w:val="001E7B50"/>
    <w:rsid w:val="002455EC"/>
    <w:rsid w:val="00292ED9"/>
    <w:rsid w:val="00317EA4"/>
    <w:rsid w:val="00320DD3"/>
    <w:rsid w:val="003852C6"/>
    <w:rsid w:val="003E1272"/>
    <w:rsid w:val="0040390A"/>
    <w:rsid w:val="00404E5B"/>
    <w:rsid w:val="00414F7B"/>
    <w:rsid w:val="004355DC"/>
    <w:rsid w:val="0046333D"/>
    <w:rsid w:val="004749B4"/>
    <w:rsid w:val="00494130"/>
    <w:rsid w:val="004B2926"/>
    <w:rsid w:val="004D34B3"/>
    <w:rsid w:val="004F1768"/>
    <w:rsid w:val="004F3523"/>
    <w:rsid w:val="00534763"/>
    <w:rsid w:val="005348E8"/>
    <w:rsid w:val="005973B9"/>
    <w:rsid w:val="005A08F3"/>
    <w:rsid w:val="005B3A56"/>
    <w:rsid w:val="005D3F89"/>
    <w:rsid w:val="005E3DC4"/>
    <w:rsid w:val="006060CE"/>
    <w:rsid w:val="0063497F"/>
    <w:rsid w:val="00634E66"/>
    <w:rsid w:val="00686792"/>
    <w:rsid w:val="0075552C"/>
    <w:rsid w:val="00774800"/>
    <w:rsid w:val="0084156F"/>
    <w:rsid w:val="00873DF0"/>
    <w:rsid w:val="008756E6"/>
    <w:rsid w:val="008876AC"/>
    <w:rsid w:val="008902C4"/>
    <w:rsid w:val="008A08B6"/>
    <w:rsid w:val="008B0626"/>
    <w:rsid w:val="00910A2D"/>
    <w:rsid w:val="009B2D44"/>
    <w:rsid w:val="00A040DC"/>
    <w:rsid w:val="00A07E82"/>
    <w:rsid w:val="00A21616"/>
    <w:rsid w:val="00A87A29"/>
    <w:rsid w:val="00A9710C"/>
    <w:rsid w:val="00AE3E37"/>
    <w:rsid w:val="00B21A57"/>
    <w:rsid w:val="00B54432"/>
    <w:rsid w:val="00BE5DEF"/>
    <w:rsid w:val="00C33602"/>
    <w:rsid w:val="00C70C87"/>
    <w:rsid w:val="00C7575C"/>
    <w:rsid w:val="00CB6497"/>
    <w:rsid w:val="00CD6F55"/>
    <w:rsid w:val="00D1409A"/>
    <w:rsid w:val="00D432F1"/>
    <w:rsid w:val="00D96DA8"/>
    <w:rsid w:val="00DE3104"/>
    <w:rsid w:val="00E2424E"/>
    <w:rsid w:val="00E26B10"/>
    <w:rsid w:val="00E4153D"/>
    <w:rsid w:val="00EE341D"/>
    <w:rsid w:val="00EE4375"/>
    <w:rsid w:val="00F72EEA"/>
    <w:rsid w:val="00F768F4"/>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A2A559B"/>
  <w15:docId w15:val="{6D9C7C1B-E995-4820-A3C8-DEB60F564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TotalTime>
  <Pages>1</Pages>
  <Words>578</Words>
  <Characters>3300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Liu, Hong</cp:lastModifiedBy>
  <cp:revision>40</cp:revision>
  <dcterms:created xsi:type="dcterms:W3CDTF">2019-12-18T14:07:00Z</dcterms:created>
  <dcterms:modified xsi:type="dcterms:W3CDTF">2019-12-18T22:26:00Z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