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572BF" w14:textId="77777777" w:rsidR="00B74CA1" w:rsidRDefault="00B74CA1" w:rsidP="00B74CA1">
      <w:pPr>
        <w:rPr>
          <w:b/>
          <w:sz w:val="28"/>
          <w:szCs w:val="28"/>
        </w:rPr>
      </w:pPr>
    </w:p>
    <w:p w14:paraId="44DFD18B" w14:textId="77777777" w:rsidR="00B74CA1" w:rsidRDefault="00B74CA1" w:rsidP="00B74CA1">
      <w:pPr>
        <w:rPr>
          <w:b/>
        </w:rPr>
      </w:pPr>
      <w:r w:rsidRPr="00B74CA1">
        <w:rPr>
          <w:b/>
        </w:rPr>
        <w:t>Abstract</w:t>
      </w:r>
    </w:p>
    <w:p w14:paraId="62BD039C" w14:textId="77777777" w:rsidR="008C3A61" w:rsidRDefault="008C3A61" w:rsidP="00B74CA1">
      <w:pPr>
        <w:rPr>
          <w:b/>
        </w:rPr>
      </w:pPr>
    </w:p>
    <w:p w14:paraId="0840684B" w14:textId="79BD67EB" w:rsidR="008C3A61" w:rsidRDefault="004743EF" w:rsidP="00E430F1">
      <w:pPr>
        <w:rPr>
          <w:b/>
          <w:sz w:val="22"/>
          <w:szCs w:val="22"/>
        </w:rPr>
      </w:pPr>
      <w:r>
        <w:rPr>
          <w:b/>
          <w:sz w:val="22"/>
          <w:szCs w:val="22"/>
        </w:rPr>
        <w:t>An exploration of alloantigen reactive regulatory T cells in transplantation: therapies and b</w:t>
      </w:r>
      <w:r w:rsidR="00FC171B" w:rsidRPr="00FC171B">
        <w:rPr>
          <w:b/>
          <w:sz w:val="22"/>
          <w:szCs w:val="22"/>
        </w:rPr>
        <w:t xml:space="preserve">iomarkers  </w:t>
      </w:r>
    </w:p>
    <w:p w14:paraId="5193B07D" w14:textId="77777777" w:rsidR="004743EF" w:rsidRPr="00FC171B" w:rsidRDefault="004743EF" w:rsidP="00E430F1">
      <w:pPr>
        <w:rPr>
          <w:b/>
          <w:sz w:val="22"/>
          <w:szCs w:val="22"/>
        </w:rPr>
      </w:pPr>
    </w:p>
    <w:p w14:paraId="7028CB92" w14:textId="68546737" w:rsidR="00FC171B" w:rsidRPr="00E430F1" w:rsidRDefault="00FC171B" w:rsidP="00E430F1">
      <w:pPr>
        <w:rPr>
          <w:sz w:val="22"/>
          <w:szCs w:val="22"/>
        </w:rPr>
      </w:pPr>
      <w:r w:rsidRPr="00E430F1">
        <w:rPr>
          <w:sz w:val="22"/>
          <w:szCs w:val="22"/>
        </w:rPr>
        <w:t xml:space="preserve">Alaa Alzhrani, Joanna Hester and </w:t>
      </w:r>
      <w:proofErr w:type="spellStart"/>
      <w:r w:rsidRPr="00E430F1">
        <w:rPr>
          <w:sz w:val="22"/>
          <w:szCs w:val="22"/>
        </w:rPr>
        <w:t>Fadi</w:t>
      </w:r>
      <w:proofErr w:type="spellEnd"/>
      <w:r w:rsidRPr="00E430F1">
        <w:rPr>
          <w:sz w:val="22"/>
          <w:szCs w:val="22"/>
        </w:rPr>
        <w:t xml:space="preserve"> </w:t>
      </w:r>
      <w:proofErr w:type="spellStart"/>
      <w:r w:rsidRPr="00E430F1">
        <w:rPr>
          <w:sz w:val="22"/>
          <w:szCs w:val="22"/>
        </w:rPr>
        <w:t>Issa</w:t>
      </w:r>
      <w:proofErr w:type="spellEnd"/>
      <w:r w:rsidRPr="00E430F1">
        <w:rPr>
          <w:sz w:val="22"/>
          <w:szCs w:val="22"/>
        </w:rPr>
        <w:t xml:space="preserve"> </w:t>
      </w:r>
    </w:p>
    <w:p w14:paraId="29E69A75" w14:textId="77777777" w:rsidR="004743EF" w:rsidRPr="00E430F1" w:rsidRDefault="004743EF" w:rsidP="00E430F1">
      <w:pPr>
        <w:rPr>
          <w:sz w:val="22"/>
          <w:szCs w:val="22"/>
        </w:rPr>
      </w:pPr>
    </w:p>
    <w:p w14:paraId="7248A891" w14:textId="6877A8CD" w:rsidR="004743EF" w:rsidRPr="00E430F1" w:rsidRDefault="004743EF" w:rsidP="00E430F1">
      <w:pPr>
        <w:rPr>
          <w:sz w:val="22"/>
          <w:szCs w:val="22"/>
        </w:rPr>
      </w:pPr>
      <w:r w:rsidRPr="00E430F1">
        <w:rPr>
          <w:sz w:val="22"/>
          <w:szCs w:val="22"/>
        </w:rPr>
        <w:t xml:space="preserve">Nuffield Department of Surgical Science, University of Oxford </w:t>
      </w:r>
    </w:p>
    <w:p w14:paraId="59769843" w14:textId="77777777" w:rsidR="00B74CA1" w:rsidRPr="00E430F1" w:rsidRDefault="00B74CA1" w:rsidP="00E430F1">
      <w:pPr>
        <w:rPr>
          <w:sz w:val="28"/>
          <w:szCs w:val="28"/>
        </w:rPr>
      </w:pPr>
    </w:p>
    <w:p w14:paraId="2A6DE4B7" w14:textId="47661992" w:rsidR="008C3A61" w:rsidRPr="00C5511D" w:rsidRDefault="00107751" w:rsidP="008C3A6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Regulatory </w:t>
      </w:r>
      <w:r w:rsidR="008C3A61">
        <w:rPr>
          <w:sz w:val="22"/>
          <w:szCs w:val="22"/>
        </w:rPr>
        <w:t>T cell (</w:t>
      </w:r>
      <w:proofErr w:type="spellStart"/>
      <w:r w:rsidR="008C3A61">
        <w:rPr>
          <w:sz w:val="22"/>
          <w:szCs w:val="22"/>
        </w:rPr>
        <w:t>Treg</w:t>
      </w:r>
      <w:proofErr w:type="spellEnd"/>
      <w:r w:rsidR="008C3A61">
        <w:rPr>
          <w:sz w:val="22"/>
          <w:szCs w:val="22"/>
        </w:rPr>
        <w:t xml:space="preserve">)-based immunotherapy for the prevention of transplant rejection has a successful track record in animal models and early clinical trials. However, there is a theoretical risk that </w:t>
      </w:r>
      <w:proofErr w:type="spellStart"/>
      <w:r w:rsidR="008C3A61">
        <w:rPr>
          <w:sz w:val="22"/>
          <w:szCs w:val="22"/>
        </w:rPr>
        <w:t>polyclonally</w:t>
      </w:r>
      <w:proofErr w:type="spellEnd"/>
      <w:r w:rsidR="008C3A61">
        <w:rPr>
          <w:sz w:val="22"/>
          <w:szCs w:val="22"/>
        </w:rPr>
        <w:t xml:space="preserve">-reactive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may cause over-immunosuppression. Conversely, a</w:t>
      </w:r>
      <w:r w:rsidR="008C3A61" w:rsidRPr="00427AB1">
        <w:rPr>
          <w:sz w:val="22"/>
          <w:szCs w:val="22"/>
        </w:rPr>
        <w:t>lloantigen</w:t>
      </w:r>
      <w:r w:rsidR="008C3A61">
        <w:rPr>
          <w:sz w:val="22"/>
          <w:szCs w:val="22"/>
        </w:rPr>
        <w:t>-</w:t>
      </w:r>
      <w:r w:rsidR="008C3A61" w:rsidRPr="00427AB1">
        <w:rPr>
          <w:sz w:val="22"/>
          <w:szCs w:val="22"/>
        </w:rPr>
        <w:t xml:space="preserve">reactive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 w:rsidRPr="00427AB1">
        <w:rPr>
          <w:sz w:val="22"/>
          <w:szCs w:val="22"/>
        </w:rPr>
        <w:t xml:space="preserve"> have the potential to induce tolerance</w:t>
      </w:r>
      <w:r w:rsidR="008C3A61">
        <w:rPr>
          <w:sz w:val="22"/>
          <w:szCs w:val="22"/>
        </w:rPr>
        <w:t xml:space="preserve"> to only specific undesired immune responses</w:t>
      </w:r>
      <w:r w:rsidR="008C3A61" w:rsidRPr="00427AB1">
        <w:rPr>
          <w:sz w:val="22"/>
          <w:szCs w:val="22"/>
        </w:rPr>
        <w:t>.</w:t>
      </w:r>
      <w:r w:rsidR="008C3A61">
        <w:rPr>
          <w:sz w:val="22"/>
          <w:szCs w:val="22"/>
        </w:rPr>
        <w:t xml:space="preserve"> A principal challenge, however, is the generation of adequate numbers of cells for therapy. This study aimed to address this challenge through the isolation of alloantigen-reactive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based on their expression of the activation marker CD137 post-culture, and to subsequently expand these cells </w:t>
      </w:r>
      <w:r w:rsidR="008C3A61" w:rsidRPr="00726B1B">
        <w:rPr>
          <w:i/>
          <w:sz w:val="22"/>
          <w:szCs w:val="22"/>
        </w:rPr>
        <w:t>ex vivo</w:t>
      </w:r>
      <w:r w:rsidR="008C3A61" w:rsidRPr="00427AB1">
        <w:rPr>
          <w:sz w:val="22"/>
          <w:szCs w:val="22"/>
        </w:rPr>
        <w:t>.</w:t>
      </w:r>
      <w:r w:rsidR="008C3A61">
        <w:rPr>
          <w:sz w:val="22"/>
          <w:szCs w:val="22"/>
        </w:rPr>
        <w:t xml:space="preserve"> CD4</w:t>
      </w:r>
      <w:r w:rsidR="008C3A61" w:rsidRPr="00726B1B">
        <w:rPr>
          <w:sz w:val="22"/>
          <w:szCs w:val="22"/>
          <w:vertAlign w:val="superscript"/>
        </w:rPr>
        <w:t>+</w:t>
      </w:r>
      <w:r w:rsidR="008C3A61">
        <w:rPr>
          <w:sz w:val="22"/>
          <w:szCs w:val="22"/>
        </w:rPr>
        <w:t>CD25</w:t>
      </w:r>
      <w:r w:rsidR="008C3A61" w:rsidRPr="00726B1B">
        <w:rPr>
          <w:sz w:val="22"/>
          <w:szCs w:val="22"/>
          <w:vertAlign w:val="superscript"/>
        </w:rPr>
        <w:t>+</w:t>
      </w:r>
      <w:r w:rsidR="008C3A61">
        <w:rPr>
          <w:sz w:val="22"/>
          <w:szCs w:val="22"/>
        </w:rPr>
        <w:t>CD127</w:t>
      </w:r>
      <w:r w:rsidR="008C3A61" w:rsidRPr="00726B1B">
        <w:rPr>
          <w:sz w:val="22"/>
          <w:szCs w:val="22"/>
          <w:vertAlign w:val="superscript"/>
        </w:rPr>
        <w:t>low</w:t>
      </w:r>
      <w:r w:rsidR="008C3A61">
        <w:rPr>
          <w:sz w:val="22"/>
          <w:szCs w:val="22"/>
        </w:rPr>
        <w:t xml:space="preserve"> human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were cultured in vitro with allogeneic </w:t>
      </w:r>
      <w:r w:rsidR="00990879">
        <w:rPr>
          <w:sz w:val="22"/>
          <w:szCs w:val="22"/>
        </w:rPr>
        <w:t>immature dendritic cells (</w:t>
      </w:r>
      <w:proofErr w:type="spellStart"/>
      <w:r w:rsidR="00990879">
        <w:rPr>
          <w:sz w:val="22"/>
          <w:szCs w:val="22"/>
        </w:rPr>
        <w:t>imDCs</w:t>
      </w:r>
      <w:proofErr w:type="spellEnd"/>
      <w:r w:rsidR="00990879">
        <w:rPr>
          <w:sz w:val="22"/>
          <w:szCs w:val="22"/>
        </w:rPr>
        <w:t xml:space="preserve">) </w:t>
      </w:r>
      <w:r w:rsidR="008C3A61">
        <w:rPr>
          <w:sz w:val="22"/>
          <w:szCs w:val="22"/>
        </w:rPr>
        <w:t>and then enriched on CD137</w:t>
      </w:r>
      <w:r>
        <w:rPr>
          <w:sz w:val="22"/>
          <w:szCs w:val="22"/>
        </w:rPr>
        <w:t xml:space="preserve">. </w:t>
      </w:r>
      <w:r w:rsidR="008C3A61">
        <w:rPr>
          <w:sz w:val="22"/>
          <w:szCs w:val="22"/>
        </w:rPr>
        <w:t xml:space="preserve">Cells were subsequently expanded with repeated rounds of </w:t>
      </w:r>
      <w:proofErr w:type="spellStart"/>
      <w:r w:rsidR="008C3A61">
        <w:rPr>
          <w:sz w:val="22"/>
          <w:szCs w:val="22"/>
        </w:rPr>
        <w:t>allo</w:t>
      </w:r>
      <w:proofErr w:type="spellEnd"/>
      <w:r w:rsidR="008C3A61">
        <w:rPr>
          <w:sz w:val="22"/>
          <w:szCs w:val="22"/>
        </w:rPr>
        <w:t>-stimulation. Using in vitro suppression assays, CD137</w:t>
      </w:r>
      <w:r w:rsidR="008C3A61" w:rsidRPr="00726B1B">
        <w:rPr>
          <w:sz w:val="22"/>
          <w:szCs w:val="22"/>
          <w:vertAlign w:val="superscript"/>
        </w:rPr>
        <w:t>+</w:t>
      </w:r>
      <w:r w:rsidR="008C3A61">
        <w:rPr>
          <w:sz w:val="22"/>
          <w:szCs w:val="22"/>
        </w:rPr>
        <w:t xml:space="preserve">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were found to be superior in comparison with </w:t>
      </w:r>
      <w:proofErr w:type="spellStart"/>
      <w:r w:rsidR="008C3A61">
        <w:rPr>
          <w:sz w:val="22"/>
          <w:szCs w:val="22"/>
        </w:rPr>
        <w:t>polyclonally</w:t>
      </w:r>
      <w:proofErr w:type="spellEnd"/>
      <w:r w:rsidR="008C3A61">
        <w:rPr>
          <w:sz w:val="22"/>
          <w:szCs w:val="22"/>
        </w:rPr>
        <w:t xml:space="preserve">-expanded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>. Moreover, CD137</w:t>
      </w:r>
      <w:r w:rsidR="008C3A61" w:rsidRPr="00726B1B">
        <w:rPr>
          <w:sz w:val="22"/>
          <w:szCs w:val="22"/>
          <w:vertAlign w:val="superscript"/>
        </w:rPr>
        <w:t>+</w:t>
      </w:r>
      <w:r w:rsidR="008C3A61">
        <w:rPr>
          <w:sz w:val="22"/>
          <w:szCs w:val="22"/>
        </w:rPr>
        <w:t xml:space="preserve">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maintained a high expression of FoxP3, H</w:t>
      </w:r>
      <w:r w:rsidR="00EC0B83">
        <w:rPr>
          <w:sz w:val="22"/>
          <w:szCs w:val="22"/>
        </w:rPr>
        <w:t xml:space="preserve">elios and CD39 after expansion. </w:t>
      </w:r>
      <w:bookmarkStart w:id="0" w:name="_GoBack"/>
      <w:bookmarkEnd w:id="0"/>
      <w:r w:rsidR="008C3A61">
        <w:rPr>
          <w:sz w:val="22"/>
          <w:szCs w:val="22"/>
        </w:rPr>
        <w:t xml:space="preserve">Our results suggest that the generation of alloantigen-reactive </w:t>
      </w:r>
      <w:proofErr w:type="spellStart"/>
      <w:r w:rsidR="008C3A61">
        <w:rPr>
          <w:sz w:val="22"/>
          <w:szCs w:val="22"/>
        </w:rPr>
        <w:t>Tregs</w:t>
      </w:r>
      <w:proofErr w:type="spellEnd"/>
      <w:r w:rsidR="008C3A61">
        <w:rPr>
          <w:sz w:val="22"/>
          <w:szCs w:val="22"/>
        </w:rPr>
        <w:t xml:space="preserve"> with a definable </w:t>
      </w:r>
      <w:proofErr w:type="spellStart"/>
      <w:r w:rsidR="008C3A61">
        <w:rPr>
          <w:sz w:val="22"/>
          <w:szCs w:val="22"/>
        </w:rPr>
        <w:t>allo</w:t>
      </w:r>
      <w:proofErr w:type="spellEnd"/>
      <w:r w:rsidR="008C3A61">
        <w:rPr>
          <w:sz w:val="22"/>
          <w:szCs w:val="22"/>
        </w:rPr>
        <w:t xml:space="preserve">-specificity is technically feasible. We next aim to expand cells to the levels required for cellular therapy and to assess their activity using in vivo transplantation models. </w:t>
      </w:r>
    </w:p>
    <w:p w14:paraId="0E860BE2" w14:textId="77777777" w:rsidR="0094777D" w:rsidRDefault="0094777D" w:rsidP="00B74CA1">
      <w:pPr>
        <w:spacing w:line="360" w:lineRule="auto"/>
      </w:pPr>
    </w:p>
    <w:sectPr w:rsidR="0094777D" w:rsidSect="0094777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CA1"/>
    <w:rsid w:val="00107751"/>
    <w:rsid w:val="001A36FE"/>
    <w:rsid w:val="00204675"/>
    <w:rsid w:val="003A1431"/>
    <w:rsid w:val="004743EF"/>
    <w:rsid w:val="00824E95"/>
    <w:rsid w:val="008C3A61"/>
    <w:rsid w:val="0094777D"/>
    <w:rsid w:val="00990879"/>
    <w:rsid w:val="00B74CA1"/>
    <w:rsid w:val="00E430F1"/>
    <w:rsid w:val="00EC0B83"/>
    <w:rsid w:val="00FC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A63B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C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C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240</Words>
  <Characters>1373</Characters>
  <Application>Microsoft Macintosh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Alzhrani</dc:creator>
  <cp:keywords/>
  <dc:description/>
  <cp:lastModifiedBy>Alaa Alzhrani</cp:lastModifiedBy>
  <cp:revision>16</cp:revision>
  <dcterms:created xsi:type="dcterms:W3CDTF">2018-03-09T09:49:00Z</dcterms:created>
  <dcterms:modified xsi:type="dcterms:W3CDTF">2018-06-11T01:09:00Z</dcterms:modified>
</cp:coreProperties>
</file>