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1FDE" w14:textId="77777777" w:rsidR="005B0702" w:rsidRPr="005B0702" w:rsidRDefault="005B0702" w:rsidP="005B0702">
      <w:pPr>
        <w:jc w:val="both"/>
        <w:rPr>
          <w:b/>
          <w:bCs/>
          <w:sz w:val="28"/>
          <w:szCs w:val="28"/>
        </w:rPr>
      </w:pPr>
      <w:r w:rsidRPr="005B0702">
        <w:rPr>
          <w:b/>
          <w:bCs/>
          <w:sz w:val="28"/>
          <w:szCs w:val="28"/>
        </w:rPr>
        <w:t>Mechanism of miRNAs and miRNA-mRNA Regulatory Networks in Modulating Drug Resistance in HER2-Positive Breast Cancer: An Integrative Bioinformatics Approach</w:t>
      </w:r>
    </w:p>
    <w:p w14:paraId="452539A0" w14:textId="77777777" w:rsidR="005B0702" w:rsidRPr="005B0702" w:rsidRDefault="005B0702" w:rsidP="005B0702">
      <w:pPr>
        <w:jc w:val="center"/>
        <w:rPr>
          <w:sz w:val="22"/>
          <w:szCs w:val="22"/>
        </w:rPr>
      </w:pPr>
      <w:r w:rsidRPr="005B0702">
        <w:rPr>
          <w:sz w:val="22"/>
          <w:szCs w:val="22"/>
        </w:rPr>
        <w:t>Thanh Hoa Vo¹, Edel A. McNeela¹, Orla O’Donovan¹, Sweta Rani¹, Jai Prakash Mehta²*,</w:t>
      </w:r>
    </w:p>
    <w:p w14:paraId="40208EE3" w14:textId="77777777" w:rsidR="005B0702" w:rsidRDefault="005B0702" w:rsidP="005B0702">
      <w:pPr>
        <w:jc w:val="both"/>
      </w:pPr>
    </w:p>
    <w:p w14:paraId="3C165EA6" w14:textId="77777777" w:rsidR="005B0702" w:rsidRPr="005B0702" w:rsidRDefault="005B0702" w:rsidP="005B0702">
      <w:pPr>
        <w:jc w:val="both"/>
        <w:rPr>
          <w:sz w:val="22"/>
          <w:szCs w:val="22"/>
        </w:rPr>
      </w:pPr>
      <w:r w:rsidRPr="005B0702">
        <w:rPr>
          <w:sz w:val="22"/>
          <w:szCs w:val="22"/>
        </w:rPr>
        <w:t xml:space="preserve">¹Pharmaceutical and Molecular Biotechnology Research Center (PMBRC), Department of Science, </w:t>
      </w:r>
      <w:proofErr w:type="gramStart"/>
      <w:r w:rsidRPr="005B0702">
        <w:rPr>
          <w:sz w:val="22"/>
          <w:szCs w:val="22"/>
        </w:rPr>
        <w:t>South East</w:t>
      </w:r>
      <w:proofErr w:type="gramEnd"/>
      <w:r w:rsidRPr="005B0702">
        <w:rPr>
          <w:sz w:val="22"/>
          <w:szCs w:val="22"/>
        </w:rPr>
        <w:t xml:space="preserve"> Technological University, X91 K0EK Waterford, Ireland</w:t>
      </w:r>
    </w:p>
    <w:p w14:paraId="4139EB62" w14:textId="77777777" w:rsidR="005B0702" w:rsidRPr="005B0702" w:rsidRDefault="005B0702" w:rsidP="005B0702">
      <w:pPr>
        <w:jc w:val="both"/>
        <w:rPr>
          <w:sz w:val="22"/>
          <w:szCs w:val="22"/>
        </w:rPr>
      </w:pPr>
      <w:r w:rsidRPr="005B0702">
        <w:rPr>
          <w:sz w:val="22"/>
          <w:szCs w:val="22"/>
        </w:rPr>
        <w:t xml:space="preserve">²Department of Applied Science, </w:t>
      </w:r>
      <w:proofErr w:type="gramStart"/>
      <w:r w:rsidRPr="005B0702">
        <w:rPr>
          <w:sz w:val="22"/>
          <w:szCs w:val="22"/>
        </w:rPr>
        <w:t>South East</w:t>
      </w:r>
      <w:proofErr w:type="gramEnd"/>
      <w:r w:rsidRPr="005B0702">
        <w:rPr>
          <w:sz w:val="22"/>
          <w:szCs w:val="22"/>
        </w:rPr>
        <w:t xml:space="preserve"> Technological University, R93 V960 Carlow, Ireland</w:t>
      </w:r>
    </w:p>
    <w:p w14:paraId="6607E9B6" w14:textId="77777777" w:rsidR="005B0702" w:rsidRPr="005B0702" w:rsidRDefault="005B0702" w:rsidP="005B0702">
      <w:pPr>
        <w:jc w:val="both"/>
        <w:rPr>
          <w:sz w:val="22"/>
          <w:szCs w:val="22"/>
        </w:rPr>
      </w:pPr>
      <w:r w:rsidRPr="005B0702">
        <w:rPr>
          <w:sz w:val="22"/>
          <w:szCs w:val="22"/>
        </w:rPr>
        <w:t>*Correspondence: jai.mehta@setu.ie</w:t>
      </w:r>
    </w:p>
    <w:p w14:paraId="589DE686" w14:textId="77777777" w:rsidR="005B0702" w:rsidRDefault="005B0702" w:rsidP="005B0702">
      <w:pPr>
        <w:jc w:val="both"/>
      </w:pPr>
    </w:p>
    <w:p w14:paraId="3CA182BD" w14:textId="77777777" w:rsidR="005B0702" w:rsidRPr="005B0702" w:rsidRDefault="005B0702" w:rsidP="005B0702">
      <w:pPr>
        <w:jc w:val="both"/>
        <w:rPr>
          <w:b/>
          <w:bCs/>
        </w:rPr>
      </w:pPr>
      <w:r w:rsidRPr="005B0702">
        <w:rPr>
          <w:b/>
          <w:bCs/>
        </w:rPr>
        <w:t>Abstract:</w:t>
      </w:r>
    </w:p>
    <w:p w14:paraId="1B216142" w14:textId="77777777" w:rsidR="005B0702" w:rsidRDefault="005B0702" w:rsidP="005B0702">
      <w:pPr>
        <w:jc w:val="both"/>
      </w:pPr>
      <w:r w:rsidRPr="005B0702">
        <w:rPr>
          <w:b/>
          <w:bCs/>
        </w:rPr>
        <w:t>Statement of the Problem:</w:t>
      </w:r>
      <w:r>
        <w:t xml:space="preserve"> HER2-positive breast cancer is an aggressive subtype, accounting for 20–25% of all breast cancers, with poor overall survival due to innate and acquired resistance to targeted therapies. Despite advancements in HER2-targeted drugs like trastuzumab, lapatinib, and </w:t>
      </w:r>
      <w:proofErr w:type="spellStart"/>
      <w:r>
        <w:t>pertuzumab</w:t>
      </w:r>
      <w:proofErr w:type="spellEnd"/>
      <w:r>
        <w:t>, resistance remains a significant clinical challenge. MicroRNAs (miRNAs) have emerged as key regulators of drug resistance, yet their role in HER2-positive breast cancer resistance is not fully understood. This study aims to uncover the mechanisms of HER2 drug resistance through miRNA analysis and target identification.</w:t>
      </w:r>
    </w:p>
    <w:p w14:paraId="1DF99308" w14:textId="77777777" w:rsidR="005B0702" w:rsidRDefault="005B0702" w:rsidP="005B0702">
      <w:pPr>
        <w:jc w:val="both"/>
      </w:pPr>
      <w:r w:rsidRPr="005B0702">
        <w:rPr>
          <w:b/>
          <w:bCs/>
        </w:rPr>
        <w:t>Methodology and Theoretical Orientation:</w:t>
      </w:r>
      <w:r>
        <w:t xml:space="preserve"> We conducted an integrative bioinformatics approach, analyzing miRNA and mRNA datasets from the GEO database. Differential expression analysis identified 113 differentially expressed miRNAs (DEMs) and 923 target genes. Functional enrichment, protein–protein interaction (PPI) network construction, and survival analysis were performed to validate the findings. Key hub genes such as BCL2, FOS, and CXCR4 were identified, and their clinical relevance was assessed through immunohistochemistry (IHC) and survival analysis.</w:t>
      </w:r>
    </w:p>
    <w:p w14:paraId="1C0BC0F1" w14:textId="77777777" w:rsidR="005B0702" w:rsidRDefault="005B0702" w:rsidP="005B0702">
      <w:pPr>
        <w:jc w:val="both"/>
      </w:pPr>
      <w:r w:rsidRPr="005B0702">
        <w:rPr>
          <w:b/>
          <w:bCs/>
        </w:rPr>
        <w:t>Findings:</w:t>
      </w:r>
      <w:r>
        <w:t xml:space="preserve"> The study revealed a complex miRNA-mRNA regulatory network associated with HER2 drug resistance. Key pathways, including the PI3K/AKT and estrogen signaling pathways, were significantly enriched. Survival analysis indicated that high expression of CXCR4 and FOS correlated with improved overall survival in HER2-positive breast cancer patients. IHC results showed increased expression of hub genes in tumor tissues, suggesting their potential role in drug resistance.</w:t>
      </w:r>
    </w:p>
    <w:p w14:paraId="0E317FF0" w14:textId="02308FDD" w:rsidR="005B0702" w:rsidRDefault="005B0702" w:rsidP="005B0702">
      <w:pPr>
        <w:jc w:val="both"/>
      </w:pPr>
      <w:r w:rsidRPr="005B0702">
        <w:rPr>
          <w:b/>
          <w:bCs/>
        </w:rPr>
        <w:lastRenderedPageBreak/>
        <w:t>Conclusion &amp; Significance:</w:t>
      </w:r>
      <w:r>
        <w:t xml:space="preserve"> This study provides novel insights into the miRNA-mediated mechanisms of HER2 drug resistance, highlighting potential biomarkers and therapeutic targets. The findings underscore the importance of integrating bioinformatics with experimental validation to develop personalized treatment strategies for HER2-positive breast cancer patients.</w:t>
      </w:r>
    </w:p>
    <w:p w14:paraId="25A16514" w14:textId="77777777" w:rsidR="005B0702" w:rsidRPr="005B0702" w:rsidRDefault="005B0702" w:rsidP="005B0702">
      <w:pPr>
        <w:jc w:val="both"/>
        <w:rPr>
          <w:b/>
          <w:bCs/>
        </w:rPr>
      </w:pPr>
      <w:r w:rsidRPr="005B0702">
        <w:rPr>
          <w:b/>
          <w:bCs/>
        </w:rPr>
        <w:t>Biography</w:t>
      </w:r>
    </w:p>
    <w:p w14:paraId="3BAF77E6" w14:textId="2FCBFF8F" w:rsidR="005B0702" w:rsidRDefault="005B0702" w:rsidP="005B0702">
      <w:pPr>
        <w:jc w:val="both"/>
      </w:pPr>
      <w:r>
        <w:t xml:space="preserve">Thanh Hoa Vo is a PhD researcher at the Pharmaceutical and Molecular Biotechnology Research Center (PMBRC), </w:t>
      </w:r>
      <w:proofErr w:type="gramStart"/>
      <w:r>
        <w:t>South East</w:t>
      </w:r>
      <w:proofErr w:type="gramEnd"/>
      <w:r>
        <w:t xml:space="preserve"> Technological University, Ireland. Her research focuses on the role of miRNAs in cancer drug resistance, particularly in HER2-positive breast cancer. She has published several articles on the molecular mechanisms of cancer resistance and the application of bioinformatics in oncology. </w:t>
      </w:r>
    </w:p>
    <w:p w14:paraId="2FEC67A5" w14:textId="77777777" w:rsidR="005B0702" w:rsidRPr="005B0702" w:rsidRDefault="005B0702" w:rsidP="005B0702">
      <w:pPr>
        <w:jc w:val="both"/>
        <w:rPr>
          <w:b/>
          <w:bCs/>
        </w:rPr>
      </w:pPr>
      <w:r w:rsidRPr="005B0702">
        <w:rPr>
          <w:b/>
          <w:bCs/>
        </w:rPr>
        <w:t>About Research Topic:</w:t>
      </w:r>
    </w:p>
    <w:p w14:paraId="1B50E4DC" w14:textId="77777777" w:rsidR="005B0702" w:rsidRDefault="005B0702" w:rsidP="005B0702">
      <w:pPr>
        <w:jc w:val="both"/>
      </w:pPr>
      <w:r>
        <w:t>Breast cancer is the most common cancer among women worldwide, with HER2-positive breast cancer being one of the most aggressive subtypes. Despite advancements in targeted therapies, drug resistance remains a significant barrier to effective treatment. Understanding the molecular mechanisms underlying resistance, particularly the role of miRNAs, is crucial for developing new therapeutic strategies and improving patient outcomes.</w:t>
      </w:r>
    </w:p>
    <w:p w14:paraId="089321BD" w14:textId="77777777" w:rsidR="005B0702" w:rsidRPr="005B0702" w:rsidRDefault="005B0702" w:rsidP="005B0702">
      <w:pPr>
        <w:jc w:val="both"/>
        <w:rPr>
          <w:b/>
          <w:bCs/>
        </w:rPr>
      </w:pPr>
      <w:r w:rsidRPr="005B0702">
        <w:rPr>
          <w:b/>
          <w:bCs/>
        </w:rPr>
        <w:t>About Institution:</w:t>
      </w:r>
    </w:p>
    <w:p w14:paraId="5C648D86" w14:textId="0F820F5A" w:rsidR="005B0702" w:rsidRDefault="005B0702" w:rsidP="005B0702">
      <w:pPr>
        <w:jc w:val="both"/>
      </w:pPr>
      <w:r>
        <w:t xml:space="preserve">The Pharmaceutical and Molecular Biotechnology Research Center (PMBRC), established in 2009 at </w:t>
      </w:r>
      <w:proofErr w:type="gramStart"/>
      <w:r>
        <w:t>South East</w:t>
      </w:r>
      <w:proofErr w:type="gramEnd"/>
      <w:r>
        <w:t xml:space="preserve"> Technological University (SETU) in Waterford, Ireland, integrates research in chemical, pharmaceutical, and biotechnological sciences. As part of the Enterprise Ireland Technology Gateway Network, co-funded by the Irish Government and the EU, the PMBRC supports R&amp;D in the pharmaceutical and healthcare sectors, fostering innovation and industry collaboration. The </w:t>
      </w:r>
      <w:proofErr w:type="spellStart"/>
      <w:r>
        <w:t>centre’s</w:t>
      </w:r>
      <w:proofErr w:type="spellEnd"/>
      <w:r>
        <w:t xml:space="preserve"> multidisciplinary team of chemists, biologists, biomedical scientists, physicists, and engineers collaborates with national and international partners in academia, industry, and healthcare.</w:t>
      </w:r>
    </w:p>
    <w:p w14:paraId="0E0709E5" w14:textId="77777777" w:rsidR="000C0409" w:rsidRPr="000C0409" w:rsidRDefault="000C0409" w:rsidP="000C0409">
      <w:pPr>
        <w:jc w:val="both"/>
        <w:rPr>
          <w:b/>
          <w:bCs/>
        </w:rPr>
      </w:pPr>
      <w:r w:rsidRPr="000C0409">
        <w:rPr>
          <w:b/>
          <w:bCs/>
        </w:rPr>
        <w:t>References:</w:t>
      </w:r>
    </w:p>
    <w:p w14:paraId="610C81A8" w14:textId="77777777" w:rsidR="000C0409" w:rsidRDefault="000C0409" w:rsidP="000C0409">
      <w:pPr>
        <w:jc w:val="both"/>
      </w:pPr>
      <w:r>
        <w:t>Vo, T.H.; McNeela, E.A.; O’Donovan, O.; Rani, S.; Mehta, J.P. Mechanism of miRNAs and miRNA-mRNA Regulatory Networks in Modulating Drug Resistance in HER2-Positive Breast Cancer: An Integrative Bioinformatics Approach. Cancers 2024, 16, 3962.</w:t>
      </w:r>
    </w:p>
    <w:p w14:paraId="4A01F2E8" w14:textId="77777777" w:rsidR="000C0409" w:rsidRDefault="000C0409" w:rsidP="000C0409">
      <w:pPr>
        <w:jc w:val="both"/>
      </w:pPr>
      <w:r>
        <w:t>Slamon, D.; Eiermann, W.; Robert, N.; et al. Adjuvant trastuzumab in HER2-positive breast cancer. N. Engl. J. Med. 2011, 365, 1273–1283.</w:t>
      </w:r>
    </w:p>
    <w:p w14:paraId="27FCC82D" w14:textId="77777777" w:rsidR="000C0409" w:rsidRDefault="000C0409" w:rsidP="000C0409">
      <w:pPr>
        <w:jc w:val="both"/>
      </w:pPr>
      <w:r>
        <w:lastRenderedPageBreak/>
        <w:t>Bartel, D.P. Metazoan MicroRNAs. Cell 2018, 173, 20–51.</w:t>
      </w:r>
    </w:p>
    <w:p w14:paraId="119C3FE5" w14:textId="77777777" w:rsidR="000C0409" w:rsidRDefault="000C0409" w:rsidP="000C0409">
      <w:pPr>
        <w:jc w:val="both"/>
      </w:pPr>
      <w:r>
        <w:t xml:space="preserve">Peng, Y.; Croce, C.M. The role of MicroRNAs in human cancer. Signal </w:t>
      </w:r>
      <w:proofErr w:type="spellStart"/>
      <w:r>
        <w:t>Transduct</w:t>
      </w:r>
      <w:proofErr w:type="spellEnd"/>
      <w:r>
        <w:t>. Target. Ther. 2016, 1, 15004.</w:t>
      </w:r>
    </w:p>
    <w:p w14:paraId="27C0BD3D" w14:textId="77777777" w:rsidR="000C0409" w:rsidRDefault="000C0409" w:rsidP="000C0409">
      <w:pPr>
        <w:jc w:val="both"/>
      </w:pPr>
      <w:r>
        <w:t>Luo, L.; Zhang, Z.; Qiu, N.; et al. Disruption of FOXO3a-miRNA feedback inhibition of IGF2/IGF-1R/IRS1 signaling confers Herceptin resistance in HER2-positive breast cancer. Nat. Commun. 2021, 12, 2699.</w:t>
      </w:r>
    </w:p>
    <w:p w14:paraId="3953CB6A" w14:textId="77777777" w:rsidR="000C0409" w:rsidRDefault="000C0409" w:rsidP="000C0409">
      <w:pPr>
        <w:jc w:val="both"/>
      </w:pPr>
      <w:r>
        <w:t xml:space="preserve">De Mattos-Arruda, L.; </w:t>
      </w:r>
      <w:proofErr w:type="spellStart"/>
      <w:r>
        <w:t>Bottai</w:t>
      </w:r>
      <w:proofErr w:type="spellEnd"/>
      <w:r>
        <w:t xml:space="preserve">, G.; Nuciforo, P.G.; et al. MicroRNA-21 links epithelial-to-mesenchymal transition and inflammatory signals to confer resistance to neoadjuvant trastuzumab and chemotherapy in HER2-positive breast cancer patients. </w:t>
      </w:r>
      <w:proofErr w:type="spellStart"/>
      <w:r>
        <w:t>Oncotarget</w:t>
      </w:r>
      <w:proofErr w:type="spellEnd"/>
      <w:r>
        <w:t xml:space="preserve"> 2015, 6, 37269–37280.</w:t>
      </w:r>
    </w:p>
    <w:p w14:paraId="0E74C77D" w14:textId="77777777" w:rsidR="000C0409" w:rsidRDefault="000C0409" w:rsidP="000C0409">
      <w:pPr>
        <w:jc w:val="both"/>
      </w:pPr>
      <w:r>
        <w:t>Ye, X.; Bai, W.; Zhu, H.; et al. MiR-221 promotes trastuzumab-resistance and metastasis in HER2-positive breast cancers by targeting PTEN. BMB Rep. 2014, 47, 268–273.</w:t>
      </w:r>
    </w:p>
    <w:p w14:paraId="2A18C4AC" w14:textId="77777777" w:rsidR="000C0409" w:rsidRDefault="000C0409" w:rsidP="000C0409">
      <w:pPr>
        <w:jc w:val="both"/>
      </w:pPr>
      <w:r>
        <w:t>Giaquinto, A.N.; Sung, H.; Miller, K.D.; et al. Breast Cancer Statistics, 2022. CA Cancer J. Clin. 2022, 72, 524–541.</w:t>
      </w:r>
    </w:p>
    <w:p w14:paraId="43D3DF2C" w14:textId="77777777" w:rsidR="000C0409" w:rsidRDefault="000C0409" w:rsidP="000C0409">
      <w:pPr>
        <w:jc w:val="both"/>
      </w:pPr>
      <w:r>
        <w:t xml:space="preserve">Vernieri, C.; Milano, M.; Brambilla, M.; et al. Resistance mechanisms to anti-HER2 therapies in HER2-positive breast cancer: Current knowledge, new research directions and therapeutic perspectives. Crit. Rev. Oncol. </w:t>
      </w:r>
      <w:proofErr w:type="spellStart"/>
      <w:r>
        <w:t>Hematol</w:t>
      </w:r>
      <w:proofErr w:type="spellEnd"/>
      <w:r>
        <w:t>. 2019, 139, 53–66.</w:t>
      </w:r>
    </w:p>
    <w:p w14:paraId="53FDD0FC" w14:textId="623ED17A" w:rsidR="000C0409" w:rsidRDefault="000C0409" w:rsidP="000C0409">
      <w:pPr>
        <w:jc w:val="both"/>
      </w:pPr>
      <w:r>
        <w:t>Mukherjee, D.; Zhao, J. The Role of chemokine receptor CXCR4 in breast cancer metastasis. Am. J. Cancer Res. 2013, 3, 46–57.</w:t>
      </w:r>
    </w:p>
    <w:sectPr w:rsidR="000C04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702"/>
    <w:rsid w:val="000056AB"/>
    <w:rsid w:val="000C0409"/>
    <w:rsid w:val="00221CA1"/>
    <w:rsid w:val="005B0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2F23"/>
  <w15:chartTrackingRefBased/>
  <w15:docId w15:val="{4D8B9C25-47EE-425C-8C1E-8BBE1CD3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702"/>
    <w:rPr>
      <w:rFonts w:eastAsiaTheme="majorEastAsia" w:cstheme="majorBidi"/>
      <w:color w:val="272727" w:themeColor="text1" w:themeTint="D8"/>
    </w:rPr>
  </w:style>
  <w:style w:type="paragraph" w:styleId="Title">
    <w:name w:val="Title"/>
    <w:basedOn w:val="Normal"/>
    <w:next w:val="Normal"/>
    <w:link w:val="TitleChar"/>
    <w:uiPriority w:val="10"/>
    <w:qFormat/>
    <w:rsid w:val="005B0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702"/>
    <w:pPr>
      <w:spacing w:before="160"/>
      <w:jc w:val="center"/>
    </w:pPr>
    <w:rPr>
      <w:i/>
      <w:iCs/>
      <w:color w:val="404040" w:themeColor="text1" w:themeTint="BF"/>
    </w:rPr>
  </w:style>
  <w:style w:type="character" w:customStyle="1" w:styleId="QuoteChar">
    <w:name w:val="Quote Char"/>
    <w:basedOn w:val="DefaultParagraphFont"/>
    <w:link w:val="Quote"/>
    <w:uiPriority w:val="29"/>
    <w:rsid w:val="005B0702"/>
    <w:rPr>
      <w:i/>
      <w:iCs/>
      <w:color w:val="404040" w:themeColor="text1" w:themeTint="BF"/>
    </w:rPr>
  </w:style>
  <w:style w:type="paragraph" w:styleId="ListParagraph">
    <w:name w:val="List Paragraph"/>
    <w:basedOn w:val="Normal"/>
    <w:uiPriority w:val="34"/>
    <w:qFormat/>
    <w:rsid w:val="005B0702"/>
    <w:pPr>
      <w:ind w:left="720"/>
      <w:contextualSpacing/>
    </w:pPr>
  </w:style>
  <w:style w:type="character" w:styleId="IntenseEmphasis">
    <w:name w:val="Intense Emphasis"/>
    <w:basedOn w:val="DefaultParagraphFont"/>
    <w:uiPriority w:val="21"/>
    <w:qFormat/>
    <w:rsid w:val="005B0702"/>
    <w:rPr>
      <w:i/>
      <w:iCs/>
      <w:color w:val="0F4761" w:themeColor="accent1" w:themeShade="BF"/>
    </w:rPr>
  </w:style>
  <w:style w:type="paragraph" w:styleId="IntenseQuote">
    <w:name w:val="Intense Quote"/>
    <w:basedOn w:val="Normal"/>
    <w:next w:val="Normal"/>
    <w:link w:val="IntenseQuoteChar"/>
    <w:uiPriority w:val="30"/>
    <w:qFormat/>
    <w:rsid w:val="005B0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702"/>
    <w:rPr>
      <w:i/>
      <w:iCs/>
      <w:color w:val="0F4761" w:themeColor="accent1" w:themeShade="BF"/>
    </w:rPr>
  </w:style>
  <w:style w:type="character" w:styleId="IntenseReference">
    <w:name w:val="Intense Reference"/>
    <w:basedOn w:val="DefaultParagraphFont"/>
    <w:uiPriority w:val="32"/>
    <w:qFormat/>
    <w:rsid w:val="005B07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867</Words>
  <Characters>4948</Characters>
  <Application>Microsoft Office Word</Application>
  <DocSecurity>0</DocSecurity>
  <Lines>41</Lines>
  <Paragraphs>11</Paragraphs>
  <ScaleCrop>false</ScaleCrop>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(20101666) Thanh Hoa Vo</dc:creator>
  <cp:keywords/>
  <dc:description/>
  <cp:lastModifiedBy>(20101666) Thanh Hoa Vo</cp:lastModifiedBy>
  <cp:revision>2</cp:revision>
  <dcterms:created xsi:type="dcterms:W3CDTF">2025-01-22T18:27:00Z</dcterms:created>
  <dcterms:modified xsi:type="dcterms:W3CDTF">2025-01-22T18:31:00Z</dcterms:modified>
</cp:coreProperties>
</file>