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38C" w:rsidRPr="00A4071D" w:rsidRDefault="00703499" w:rsidP="00E7245E">
      <w:pPr>
        <w:jc w:val="center"/>
        <w:rPr>
          <w:b/>
          <w:sz w:val="44"/>
          <w:szCs w:val="44"/>
          <w:u w:val="single"/>
        </w:rPr>
      </w:pPr>
      <w:r w:rsidRPr="00A4071D">
        <w:rPr>
          <w:b/>
          <w:sz w:val="44"/>
          <w:szCs w:val="44"/>
          <w:u w:val="single"/>
        </w:rPr>
        <w:t>Hypertension in HIV</w:t>
      </w:r>
    </w:p>
    <w:p w:rsidR="00CA5FF6" w:rsidRDefault="00CA5FF6">
      <w:pPr>
        <w:rPr>
          <w:b/>
        </w:rPr>
      </w:pPr>
      <w:r>
        <w:rPr>
          <w:b/>
        </w:rPr>
        <w:t xml:space="preserve">Authors: Dr G.P.R </w:t>
      </w:r>
      <w:proofErr w:type="spellStart"/>
      <w:r>
        <w:rPr>
          <w:b/>
        </w:rPr>
        <w:t>Manmathan</w:t>
      </w:r>
      <w:proofErr w:type="spellEnd"/>
      <w:r>
        <w:rPr>
          <w:b/>
        </w:rPr>
        <w:t xml:space="preserve">, Mr A Hunter, Prof M Johnson, Dr R </w:t>
      </w:r>
      <w:proofErr w:type="spellStart"/>
      <w:r>
        <w:rPr>
          <w:b/>
        </w:rPr>
        <w:t>Rakhit</w:t>
      </w:r>
      <w:proofErr w:type="spellEnd"/>
      <w:r>
        <w:rPr>
          <w:b/>
        </w:rPr>
        <w:t xml:space="preserve">. The Ian Charleson Day Centre, Royal Free Hospital, London.  </w:t>
      </w:r>
    </w:p>
    <w:p w:rsidR="00CE4B7E" w:rsidRPr="00A4071D" w:rsidRDefault="00E7245E">
      <w:pPr>
        <w:rPr>
          <w:b/>
        </w:rPr>
      </w:pPr>
      <w:r w:rsidRPr="00A4071D">
        <w:rPr>
          <w:b/>
        </w:rPr>
        <w:t>Background</w:t>
      </w:r>
      <w:r w:rsidR="00CA5FF6">
        <w:rPr>
          <w:b/>
        </w:rPr>
        <w:t>:</w:t>
      </w:r>
    </w:p>
    <w:p w:rsidR="00FB3023" w:rsidRDefault="00FB3023">
      <w:r w:rsidRPr="006929DA">
        <w:t xml:space="preserve">Combination antiretroviral therapy </w:t>
      </w:r>
      <w:r w:rsidR="00E966A3">
        <w:t xml:space="preserve">(ART) </w:t>
      </w:r>
      <w:r w:rsidRPr="006929DA">
        <w:t>has dramatically changed the prognosis of HIV infection with survival nearing that of uninfected people when treatment is available</w:t>
      </w:r>
      <w:r w:rsidR="006F4672">
        <w:rPr>
          <w:rStyle w:val="FootnoteReference"/>
        </w:rPr>
        <w:footnoteReference w:id="1"/>
      </w:r>
      <w:r w:rsidRPr="006929DA">
        <w:t xml:space="preserve">. People living with HIV (PLWH), however, experience </w:t>
      </w:r>
      <w:r w:rsidR="00E90BD5">
        <w:t xml:space="preserve">significant </w:t>
      </w:r>
      <w:r w:rsidRPr="006929DA">
        <w:t>comorbidities associated with HIV infection as they are growing older, with a substantial proportion of them now aged 50 years and above. ART-trea</w:t>
      </w:r>
      <w:r w:rsidR="00E90BD5">
        <w:t>ted patients are at</w:t>
      </w:r>
      <w:r w:rsidRPr="006929DA">
        <w:t xml:space="preserve"> an increased</w:t>
      </w:r>
      <w:r w:rsidR="00E90BD5">
        <w:t xml:space="preserve"> cardio-vascular</w:t>
      </w:r>
      <w:r w:rsidRPr="006929DA">
        <w:t xml:space="preserve"> risk</w:t>
      </w:r>
      <w:r w:rsidR="00E90BD5">
        <w:t xml:space="preserve"> with some studies quoting a 1.5 to 2 fold relative risk compared to their peers</w:t>
      </w:r>
      <w:r>
        <w:rPr>
          <w:rStyle w:val="FootnoteReference"/>
        </w:rPr>
        <w:footnoteReference w:id="2"/>
      </w:r>
      <w:r>
        <w:t>, controversially this was not validated by Q-Risk3</w:t>
      </w:r>
      <w:r>
        <w:rPr>
          <w:rStyle w:val="FootnoteReference"/>
        </w:rPr>
        <w:footnoteReference w:id="3"/>
      </w:r>
      <w:r>
        <w:t>.</w:t>
      </w:r>
    </w:p>
    <w:p w:rsidR="00703499" w:rsidRDefault="00E7245E">
      <w:r w:rsidRPr="00E7245E">
        <w:t>Hypertension is among the leading risk factors for cardiovascular disease and accounts for 6% of adult deaths worldwide.</w:t>
      </w:r>
      <w:r>
        <w:t xml:space="preserve"> It is estimated that hypertension is</w:t>
      </w:r>
      <w:r w:rsidRPr="00E7245E">
        <w:t xml:space="preserve"> responsible for at least 45% of deaths due to heart disease and 51% of deaths due to stroke</w:t>
      </w:r>
      <w:r w:rsidR="00CE4B7E">
        <w:rPr>
          <w:rStyle w:val="FootnoteReference"/>
        </w:rPr>
        <w:footnoteReference w:id="4"/>
      </w:r>
      <w:r w:rsidRPr="00E7245E">
        <w:t>.</w:t>
      </w:r>
      <w:r w:rsidR="006929DA">
        <w:t xml:space="preserve"> </w:t>
      </w:r>
    </w:p>
    <w:p w:rsidR="00A51256" w:rsidRPr="00A51256" w:rsidRDefault="00FB3023">
      <w:r>
        <w:t>Recently the American College of Cardiology</w:t>
      </w:r>
      <w:r w:rsidR="006F4672">
        <w:t xml:space="preserve"> (ACC)</w:t>
      </w:r>
      <w:r>
        <w:t xml:space="preserve"> updated their guidance stating high</w:t>
      </w:r>
      <w:r w:rsidRPr="00FB3023">
        <w:t xml:space="preserve"> blood pressure </w:t>
      </w:r>
      <w:r w:rsidR="00E966A3">
        <w:t xml:space="preserve">(BP) </w:t>
      </w:r>
      <w:r w:rsidRPr="00FB3023">
        <w:t xml:space="preserve">should be treated earlier with lifestyle changes and </w:t>
      </w:r>
      <w:r>
        <w:t>medication – at 130/80mm</w:t>
      </w:r>
      <w:r w:rsidRPr="00FB3023">
        <w:t>Hg rather than 140/90</w:t>
      </w:r>
      <w:r>
        <w:t>mmHg</w:t>
      </w:r>
      <w:r w:rsidR="009E01D0">
        <w:rPr>
          <w:rStyle w:val="FootnoteReference"/>
        </w:rPr>
        <w:footnoteReference w:id="5"/>
      </w:r>
      <w:r w:rsidR="00E86ED4">
        <w:t>. This is the 1</w:t>
      </w:r>
      <w:r w:rsidR="00E86ED4" w:rsidRPr="00E86ED4">
        <w:rPr>
          <w:vertAlign w:val="superscript"/>
        </w:rPr>
        <w:t>st</w:t>
      </w:r>
      <w:r w:rsidR="00E86ED4">
        <w:t xml:space="preserve"> reclassification of hypertension in over 20 </w:t>
      </w:r>
      <w:proofErr w:type="gramStart"/>
      <w:r w:rsidR="00E86ED4">
        <w:t>years,</w:t>
      </w:r>
      <w:proofErr w:type="gramEnd"/>
      <w:r w:rsidR="00E86ED4">
        <w:t xml:space="preserve"> NICE are d</w:t>
      </w:r>
      <w:r w:rsidR="009E01D0">
        <w:t>ue to address this in 2019.</w:t>
      </w:r>
    </w:p>
    <w:p w:rsidR="00E7245E" w:rsidRPr="00A4071D" w:rsidRDefault="00E7245E">
      <w:pPr>
        <w:rPr>
          <w:b/>
        </w:rPr>
      </w:pPr>
      <w:r w:rsidRPr="00A4071D">
        <w:rPr>
          <w:b/>
        </w:rPr>
        <w:t>Methods</w:t>
      </w:r>
      <w:r w:rsidR="00A51256" w:rsidRPr="00A4071D">
        <w:rPr>
          <w:b/>
        </w:rPr>
        <w:t>:</w:t>
      </w:r>
    </w:p>
    <w:p w:rsidR="00875E20" w:rsidRDefault="009E01D0">
      <w:r>
        <w:t>At the Royal Free Hospital, London we have a HIV Centre offering a walk-in service for various clinics and drop-ins for PLWH. We have an average of 140 PLWH using the service on a weekly basis</w:t>
      </w:r>
      <w:r w:rsidR="00875E20">
        <w:t>, we opted to exclude those PLWH who were coming for a drop-in visit as their anxiety levels may have led to an elevated BP, thus we only we used patients who were attending</w:t>
      </w:r>
      <w:r w:rsidR="005D2225">
        <w:t xml:space="preserve"> for</w:t>
      </w:r>
      <w:r w:rsidR="00875E20">
        <w:t xml:space="preserve"> clinic and measured their blood pressure. </w:t>
      </w:r>
    </w:p>
    <w:p w:rsidR="009E01D0" w:rsidRDefault="00875E20">
      <w:r>
        <w:t>Retrospectively we collected data on HTN,</w:t>
      </w:r>
      <w:r w:rsidR="005D2225">
        <w:t xml:space="preserve"> HTN meds, </w:t>
      </w:r>
      <w:r w:rsidR="00D044DB">
        <w:t>their ART regime, creati</w:t>
      </w:r>
      <w:r>
        <w:t xml:space="preserve">nine, cholesterol, urine PCR.     </w:t>
      </w:r>
      <w:r w:rsidR="009E01D0">
        <w:t xml:space="preserve"> </w:t>
      </w:r>
    </w:p>
    <w:p w:rsidR="00E966A3" w:rsidRDefault="00E966A3"/>
    <w:p w:rsidR="00E966A3" w:rsidRDefault="00E966A3"/>
    <w:p w:rsidR="00E7245E" w:rsidRPr="00A4071D" w:rsidRDefault="00E7245E">
      <w:pPr>
        <w:rPr>
          <w:b/>
        </w:rPr>
      </w:pPr>
      <w:r w:rsidRPr="00A4071D">
        <w:rPr>
          <w:b/>
        </w:rPr>
        <w:lastRenderedPageBreak/>
        <w:t>Results</w:t>
      </w:r>
      <w:r w:rsidR="00A51256" w:rsidRPr="00A4071D">
        <w:rPr>
          <w:b/>
        </w:rPr>
        <w:t>:</w:t>
      </w:r>
    </w:p>
    <w:p w:rsidR="00973A95" w:rsidRDefault="00E934C2">
      <w:r>
        <w:t xml:space="preserve">During 1 week in March we collected data on 111 PLWH, male 73% (n=81), female 27% (30) with an average age of 49.6 </w:t>
      </w:r>
      <w:proofErr w:type="spellStart"/>
      <w:r>
        <w:t>yrs</w:t>
      </w:r>
      <w:proofErr w:type="spellEnd"/>
      <w:r>
        <w:t xml:space="preserve">, and an average BP of 134.6/82.2mmHg. </w:t>
      </w:r>
      <w:r w:rsidR="00973A95">
        <w:t xml:space="preserve">23% (26) </w:t>
      </w:r>
      <w:r w:rsidR="00D044DB">
        <w:t xml:space="preserve">of </w:t>
      </w:r>
      <w:r w:rsidR="00973A95">
        <w:t xml:space="preserve">patients were known </w:t>
      </w:r>
      <w:r w:rsidR="00D044DB">
        <w:t xml:space="preserve">to be </w:t>
      </w:r>
      <w:r w:rsidR="00973A95">
        <w:t xml:space="preserve">hypertensive </w:t>
      </w:r>
      <w:r w:rsidR="00D044DB">
        <w:t xml:space="preserve">and </w:t>
      </w:r>
      <w:r w:rsidR="00973A95">
        <w:t>on medication</w:t>
      </w:r>
      <w:r w:rsidR="00D044DB">
        <w:t>,</w:t>
      </w:r>
      <w:r w:rsidR="00973A95">
        <w:t xml:space="preserve"> but only 62% were well controlled. </w:t>
      </w:r>
    </w:p>
    <w:p w:rsidR="00E934C2" w:rsidRDefault="00973A95">
      <w:r>
        <w:t xml:space="preserve">In total 37% </w:t>
      </w:r>
      <w:r w:rsidR="00F959D5">
        <w:t xml:space="preserve">of patients had a systolic BP &gt;140mmHg which increased to 57% using the ACC guidelines of &gt;130mmHg. However only 21% of patients had a diastolic BP&gt;90mmHg, but this increased significantly to 62% when using &gt;80mmHg. </w:t>
      </w:r>
      <w:r>
        <w:t xml:space="preserve"> </w:t>
      </w:r>
    </w:p>
    <w:p w:rsidR="00F959D5" w:rsidRPr="00A4071D" w:rsidRDefault="00E7245E">
      <w:pPr>
        <w:rPr>
          <w:b/>
        </w:rPr>
      </w:pPr>
      <w:r w:rsidRPr="00A4071D">
        <w:rPr>
          <w:b/>
        </w:rPr>
        <w:t>Conclusion</w:t>
      </w:r>
      <w:r w:rsidR="00CE4B7E" w:rsidRPr="00A4071D">
        <w:rPr>
          <w:b/>
        </w:rPr>
        <w:t>:</w:t>
      </w:r>
    </w:p>
    <w:p w:rsidR="00CE4B7E" w:rsidRDefault="00CE4B7E">
      <w:r w:rsidRPr="00CE4B7E">
        <w:t>Hypertension is common in HIV-positive populations, with prevalence estimates ranging from 4.7 to 54.4% in high-income countries, and from 8.7 to 45.9% in low- and middle-income countries</w:t>
      </w:r>
      <w:r>
        <w:rPr>
          <w:rStyle w:val="FootnoteReference"/>
        </w:rPr>
        <w:footnoteReference w:id="6"/>
      </w:r>
      <w:r w:rsidRPr="00CE4B7E">
        <w:t>.</w:t>
      </w:r>
      <w:r w:rsidR="00F959D5">
        <w:t xml:space="preserve"> Our Audit compares favourably to expected rates of hypertension, however with the proposed re-classification of hypertension a significant proportion of our patients </w:t>
      </w:r>
      <w:r w:rsidR="00EE708A">
        <w:t xml:space="preserve">(62%) </w:t>
      </w:r>
      <w:r w:rsidR="00F959D5">
        <w:t>will be diagnosed with diastolic hypertension</w:t>
      </w:r>
      <w:r w:rsidR="00EE708A">
        <w:t>.</w:t>
      </w:r>
      <w:r w:rsidR="00F959D5">
        <w:t xml:space="preserve">  </w:t>
      </w:r>
    </w:p>
    <w:p w:rsidR="00E86ED4" w:rsidRDefault="00E86ED4">
      <w:r w:rsidRPr="00E86ED4">
        <w:t>Many deaths from stroke, myocardial infarction, kidney and eye disease, and vascular events could be averted by the simple application of the most basic knowledge about blood pressure for which there has been broad consensus for decades.</w:t>
      </w:r>
      <w:r>
        <w:t xml:space="preserve"> The ACC guidelines are not a mandate, but </w:t>
      </w:r>
      <w:r w:rsidR="00D044DB">
        <w:t>give</w:t>
      </w:r>
      <w:bookmarkStart w:id="0" w:name="_GoBack"/>
      <w:bookmarkEnd w:id="0"/>
      <w:r w:rsidRPr="00E86ED4">
        <w:t xml:space="preserve"> permission for people at higher risk to choose to seek to achieve lower target levels</w:t>
      </w:r>
      <w:r>
        <w:rPr>
          <w:rStyle w:val="FootnoteReference"/>
        </w:rPr>
        <w:footnoteReference w:id="7"/>
      </w:r>
      <w:r>
        <w:t>.</w:t>
      </w:r>
    </w:p>
    <w:p w:rsidR="00EE708A" w:rsidRDefault="00EE708A">
      <w:r>
        <w:t xml:space="preserve">In our re-audit we will aim to see if our diagnosed </w:t>
      </w:r>
      <w:proofErr w:type="spellStart"/>
      <w:r>
        <w:t>hypertensives</w:t>
      </w:r>
      <w:proofErr w:type="spellEnd"/>
      <w:r>
        <w:t xml:space="preserve">’ can be better treated. We will look over a longer period of time (1 month) for further differentiation of BP by race, sex, and ARV medication.  </w:t>
      </w:r>
    </w:p>
    <w:sectPr w:rsidR="00EE708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B7E" w:rsidRDefault="00CE4B7E" w:rsidP="00CE4B7E">
      <w:pPr>
        <w:spacing w:after="0" w:line="240" w:lineRule="auto"/>
      </w:pPr>
      <w:r>
        <w:separator/>
      </w:r>
    </w:p>
  </w:endnote>
  <w:endnote w:type="continuationSeparator" w:id="0">
    <w:p w:rsidR="00CE4B7E" w:rsidRDefault="00CE4B7E" w:rsidP="00CE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B7E" w:rsidRDefault="00CE4B7E" w:rsidP="00CE4B7E">
      <w:pPr>
        <w:spacing w:after="0" w:line="240" w:lineRule="auto"/>
      </w:pPr>
      <w:r>
        <w:separator/>
      </w:r>
    </w:p>
  </w:footnote>
  <w:footnote w:type="continuationSeparator" w:id="0">
    <w:p w:rsidR="00CE4B7E" w:rsidRDefault="00CE4B7E" w:rsidP="00CE4B7E">
      <w:pPr>
        <w:spacing w:after="0" w:line="240" w:lineRule="auto"/>
      </w:pPr>
      <w:r>
        <w:continuationSeparator/>
      </w:r>
    </w:p>
  </w:footnote>
  <w:footnote w:id="1">
    <w:p w:rsidR="006F4672" w:rsidRDefault="006F4672">
      <w:pPr>
        <w:pStyle w:val="FootnoteText"/>
      </w:pPr>
      <w:r>
        <w:rPr>
          <w:rStyle w:val="FootnoteReference"/>
        </w:rPr>
        <w:footnoteRef/>
      </w:r>
      <w:r>
        <w:t xml:space="preserve"> </w:t>
      </w:r>
      <w:r w:rsidR="00E90BD5">
        <w:t xml:space="preserve"> </w:t>
      </w:r>
      <w:proofErr w:type="gramStart"/>
      <w:r w:rsidR="00E90BD5" w:rsidRPr="00E90BD5">
        <w:t>Antiretroviral Therapy Cohort Collaboration</w:t>
      </w:r>
      <w:r w:rsidR="00E90BD5">
        <w:t>.</w:t>
      </w:r>
      <w:proofErr w:type="gramEnd"/>
      <w:r w:rsidR="00E90BD5">
        <w:t xml:space="preserve"> </w:t>
      </w:r>
      <w:r w:rsidR="00E90BD5" w:rsidRPr="00E90BD5">
        <w:t>Survival of HIV-positive patients starting antiretroviral therapy between 1996 and 2013: a collaborative analysis of cohort studies</w:t>
      </w:r>
      <w:r w:rsidR="00E90BD5">
        <w:t xml:space="preserve">. </w:t>
      </w:r>
      <w:proofErr w:type="gramStart"/>
      <w:r w:rsidR="00E90BD5" w:rsidRPr="00E90BD5">
        <w:t>Lancet HIV.</w:t>
      </w:r>
      <w:proofErr w:type="gramEnd"/>
      <w:r w:rsidR="00E90BD5" w:rsidRPr="00E90BD5">
        <w:t xml:space="preserve"> 2017 Aug;4(8):e349-e356</w:t>
      </w:r>
    </w:p>
  </w:footnote>
  <w:footnote w:id="2">
    <w:p w:rsidR="00FB3023" w:rsidRDefault="00FB3023" w:rsidP="00FB3023">
      <w:pPr>
        <w:pStyle w:val="FootnoteText"/>
      </w:pPr>
      <w:r>
        <w:rPr>
          <w:rStyle w:val="FootnoteReference"/>
        </w:rPr>
        <w:footnoteRef/>
      </w:r>
      <w:r>
        <w:t xml:space="preserve"> </w:t>
      </w:r>
      <w:r w:rsidRPr="00015FA6">
        <w:t xml:space="preserve">Cerrato E, Calcagno A, </w:t>
      </w:r>
      <w:proofErr w:type="spellStart"/>
      <w:r w:rsidRPr="00015FA6">
        <w:t>D'Ascenzo</w:t>
      </w:r>
      <w:proofErr w:type="spellEnd"/>
      <w:r w:rsidRPr="00015FA6">
        <w:t xml:space="preserve"> F, </w:t>
      </w:r>
      <w:proofErr w:type="spellStart"/>
      <w:r w:rsidRPr="00015FA6">
        <w:t>Biondi-Zoccai</w:t>
      </w:r>
      <w:proofErr w:type="spellEnd"/>
      <w:r w:rsidRPr="00015FA6">
        <w:t xml:space="preserve"> G, </w:t>
      </w:r>
      <w:proofErr w:type="spellStart"/>
      <w:r w:rsidRPr="00015FA6">
        <w:t>Mancone</w:t>
      </w:r>
      <w:proofErr w:type="spellEnd"/>
      <w:r w:rsidRPr="00015FA6">
        <w:t xml:space="preserve"> M, Grosso </w:t>
      </w:r>
      <w:proofErr w:type="spellStart"/>
      <w:r w:rsidRPr="00015FA6">
        <w:t>Marra</w:t>
      </w:r>
      <w:proofErr w:type="spellEnd"/>
      <w:r w:rsidRPr="00015FA6">
        <w:t xml:space="preserve"> W, </w:t>
      </w:r>
      <w:proofErr w:type="spellStart"/>
      <w:r w:rsidRPr="00015FA6">
        <w:t>Demarie</w:t>
      </w:r>
      <w:proofErr w:type="spellEnd"/>
      <w:r w:rsidRPr="00015FA6">
        <w:t xml:space="preserve"> D, </w:t>
      </w:r>
      <w:proofErr w:type="spellStart"/>
      <w:r w:rsidRPr="00015FA6">
        <w:t>Omedè</w:t>
      </w:r>
      <w:proofErr w:type="spellEnd"/>
      <w:r w:rsidRPr="00015FA6">
        <w:t xml:space="preserve"> P, Abbate A, </w:t>
      </w:r>
      <w:proofErr w:type="spellStart"/>
      <w:r w:rsidRPr="00015FA6">
        <w:t>Bonora</w:t>
      </w:r>
      <w:proofErr w:type="spellEnd"/>
      <w:r w:rsidRPr="00015FA6">
        <w:t xml:space="preserve"> S, </w:t>
      </w:r>
      <w:proofErr w:type="spellStart"/>
      <w:r w:rsidRPr="00015FA6">
        <w:t>DiNicolantonio</w:t>
      </w:r>
      <w:proofErr w:type="spellEnd"/>
      <w:r w:rsidRPr="00015FA6">
        <w:t xml:space="preserve"> JJ, Estrada V, </w:t>
      </w:r>
      <w:proofErr w:type="spellStart"/>
      <w:r w:rsidRPr="00015FA6">
        <w:t>Escaned</w:t>
      </w:r>
      <w:proofErr w:type="spellEnd"/>
      <w:r w:rsidRPr="00015FA6">
        <w:t xml:space="preserve"> J, Moretti C, </w:t>
      </w:r>
      <w:proofErr w:type="spellStart"/>
      <w:r w:rsidRPr="00015FA6">
        <w:t>Gaita</w:t>
      </w:r>
      <w:proofErr w:type="spellEnd"/>
      <w:r w:rsidRPr="00015FA6">
        <w:t xml:space="preserve"> F.</w:t>
      </w:r>
      <w:r>
        <w:t xml:space="preserve"> </w:t>
      </w:r>
      <w:r w:rsidRPr="00015FA6">
        <w:t>Cardiovascular disease in HIV patients: from bench to bedside and backwards</w:t>
      </w:r>
      <w:r>
        <w:t xml:space="preserve">. </w:t>
      </w:r>
      <w:r w:rsidRPr="00004030">
        <w:t>Open Heart. 2015 Mar 20</w:t>
      </w:r>
      <w:proofErr w:type="gramStart"/>
      <w:r w:rsidRPr="00004030">
        <w:t>;2</w:t>
      </w:r>
      <w:proofErr w:type="gramEnd"/>
      <w:r w:rsidRPr="00004030">
        <w:t xml:space="preserve">(1):e000174. </w:t>
      </w:r>
      <w:proofErr w:type="spellStart"/>
      <w:proofErr w:type="gramStart"/>
      <w:r w:rsidRPr="00004030">
        <w:t>doi</w:t>
      </w:r>
      <w:proofErr w:type="spellEnd"/>
      <w:proofErr w:type="gramEnd"/>
      <w:r w:rsidRPr="00004030">
        <w:t xml:space="preserve">: 10.1136/openhrt-2014-000174. </w:t>
      </w:r>
      <w:proofErr w:type="spellStart"/>
      <w:proofErr w:type="gramStart"/>
      <w:r w:rsidRPr="00004030">
        <w:t>eCollection</w:t>
      </w:r>
      <w:proofErr w:type="spellEnd"/>
      <w:proofErr w:type="gramEnd"/>
      <w:r w:rsidRPr="00004030">
        <w:t xml:space="preserve"> 2015. Review</w:t>
      </w:r>
    </w:p>
  </w:footnote>
  <w:footnote w:id="3">
    <w:p w:rsidR="00FB3023" w:rsidRDefault="00FB3023" w:rsidP="00FB3023">
      <w:pPr>
        <w:pStyle w:val="FootnoteText"/>
      </w:pPr>
      <w:r>
        <w:rPr>
          <w:rStyle w:val="FootnoteReference"/>
        </w:rPr>
        <w:footnoteRef/>
      </w:r>
      <w:r>
        <w:t xml:space="preserve"> </w:t>
      </w:r>
      <w:proofErr w:type="spellStart"/>
      <w:r w:rsidRPr="006929DA">
        <w:t>Hippisley</w:t>
      </w:r>
      <w:proofErr w:type="spellEnd"/>
      <w:r w:rsidRPr="006929DA">
        <w:t xml:space="preserve">-Cox J, </w:t>
      </w:r>
      <w:proofErr w:type="spellStart"/>
      <w:r w:rsidRPr="006929DA">
        <w:t>Coupland</w:t>
      </w:r>
      <w:proofErr w:type="spellEnd"/>
      <w:r w:rsidRPr="006929DA">
        <w:t xml:space="preserve"> C, Brindle P. Development and validation of QRISK3 risk prediction algorithms to estimate future risk of cardiovascular disease: prospective cohort study</w:t>
      </w:r>
      <w:r>
        <w:t xml:space="preserve">. </w:t>
      </w:r>
      <w:proofErr w:type="gramStart"/>
      <w:r w:rsidRPr="006929DA">
        <w:t>BMJ.</w:t>
      </w:r>
      <w:proofErr w:type="gramEnd"/>
      <w:r w:rsidRPr="006929DA">
        <w:t xml:space="preserve"> 2017 May 23</w:t>
      </w:r>
      <w:proofErr w:type="gramStart"/>
      <w:r w:rsidRPr="006929DA">
        <w:t>;357:j2099</w:t>
      </w:r>
      <w:proofErr w:type="gramEnd"/>
      <w:r w:rsidRPr="006929DA">
        <w:t xml:space="preserve">. </w:t>
      </w:r>
      <w:proofErr w:type="spellStart"/>
      <w:r w:rsidRPr="006929DA">
        <w:t>doi</w:t>
      </w:r>
      <w:proofErr w:type="spellEnd"/>
      <w:r w:rsidRPr="006929DA">
        <w:t>: 10.1136/bmj.j2099</w:t>
      </w:r>
    </w:p>
  </w:footnote>
  <w:footnote w:id="4">
    <w:p w:rsidR="00CE4B7E" w:rsidRDefault="00CE4B7E">
      <w:pPr>
        <w:pStyle w:val="FootnoteText"/>
      </w:pPr>
      <w:r>
        <w:rPr>
          <w:rStyle w:val="FootnoteReference"/>
        </w:rPr>
        <w:footnoteRef/>
      </w:r>
      <w:r>
        <w:t xml:space="preserve"> </w:t>
      </w:r>
      <w:proofErr w:type="spellStart"/>
      <w:r w:rsidRPr="00CE4B7E">
        <w:t>Ucciferri</w:t>
      </w:r>
      <w:proofErr w:type="spellEnd"/>
      <w:r w:rsidRPr="00CE4B7E">
        <w:t xml:space="preserve"> C, </w:t>
      </w:r>
      <w:proofErr w:type="spellStart"/>
      <w:r w:rsidRPr="00CE4B7E">
        <w:t>Falasca</w:t>
      </w:r>
      <w:proofErr w:type="spellEnd"/>
      <w:r w:rsidRPr="00CE4B7E">
        <w:t xml:space="preserve"> K, </w:t>
      </w:r>
      <w:proofErr w:type="spellStart"/>
      <w:r w:rsidRPr="00CE4B7E">
        <w:t>Vecchiet</w:t>
      </w:r>
      <w:proofErr w:type="spellEnd"/>
      <w:r w:rsidRPr="00CE4B7E">
        <w:t xml:space="preserve"> J</w:t>
      </w:r>
      <w:r>
        <w:t xml:space="preserve">. </w:t>
      </w:r>
      <w:r w:rsidRPr="00CE4B7E">
        <w:t>Hypertension in HIV: Management and Treatment. AIDS Rev. 2017 Oct-Dec</w:t>
      </w:r>
      <w:proofErr w:type="gramStart"/>
      <w:r w:rsidRPr="00CE4B7E">
        <w:t>;19</w:t>
      </w:r>
      <w:proofErr w:type="gramEnd"/>
      <w:r w:rsidRPr="00CE4B7E">
        <w:t>(4):198-211. Review</w:t>
      </w:r>
    </w:p>
  </w:footnote>
  <w:footnote w:id="5">
    <w:p w:rsidR="009E01D0" w:rsidRDefault="009E01D0">
      <w:pPr>
        <w:pStyle w:val="FootnoteText"/>
      </w:pPr>
      <w:r>
        <w:rPr>
          <w:rStyle w:val="FootnoteReference"/>
        </w:rPr>
        <w:footnoteRef/>
      </w:r>
      <w:r>
        <w:t xml:space="preserve"> </w:t>
      </w:r>
      <w:proofErr w:type="spellStart"/>
      <w:r w:rsidRPr="009E01D0">
        <w:t>Dominiczak</w:t>
      </w:r>
      <w:proofErr w:type="spellEnd"/>
      <w:r w:rsidRPr="009E01D0">
        <w:t xml:space="preserve"> AF, </w:t>
      </w:r>
      <w:proofErr w:type="spellStart"/>
      <w:r w:rsidRPr="009E01D0">
        <w:t>Kuo</w:t>
      </w:r>
      <w:proofErr w:type="spellEnd"/>
      <w:r w:rsidRPr="009E01D0">
        <w:t xml:space="preserve"> D.</w:t>
      </w:r>
      <w:r>
        <w:t xml:space="preserve"> </w:t>
      </w:r>
      <w:r w:rsidRPr="009E01D0">
        <w:t>Hypertension: Update 2018.</w:t>
      </w:r>
      <w:r>
        <w:t xml:space="preserve"> </w:t>
      </w:r>
      <w:proofErr w:type="gramStart"/>
      <w:r w:rsidRPr="009E01D0">
        <w:t>Hypertension.</w:t>
      </w:r>
      <w:proofErr w:type="gramEnd"/>
      <w:r w:rsidRPr="009E01D0">
        <w:t xml:space="preserve"> 2018 Jan</w:t>
      </w:r>
      <w:proofErr w:type="gramStart"/>
      <w:r w:rsidRPr="009E01D0">
        <w:t>;71</w:t>
      </w:r>
      <w:proofErr w:type="gramEnd"/>
      <w:r w:rsidRPr="009E01D0">
        <w:t>(1):3-4.</w:t>
      </w:r>
    </w:p>
  </w:footnote>
  <w:footnote w:id="6">
    <w:p w:rsidR="00CE4B7E" w:rsidRDefault="00CE4B7E">
      <w:pPr>
        <w:pStyle w:val="FootnoteText"/>
      </w:pPr>
      <w:r>
        <w:rPr>
          <w:rStyle w:val="FootnoteReference"/>
        </w:rPr>
        <w:footnoteRef/>
      </w:r>
      <w:r>
        <w:t xml:space="preserve"> </w:t>
      </w:r>
      <w:r w:rsidRPr="00CE4B7E">
        <w:t xml:space="preserve">Nguyen KA, Peer N, Mills EJ, </w:t>
      </w:r>
      <w:proofErr w:type="spellStart"/>
      <w:r w:rsidRPr="00CE4B7E">
        <w:t>Kengne</w:t>
      </w:r>
      <w:proofErr w:type="spellEnd"/>
      <w:r w:rsidRPr="00CE4B7E">
        <w:t xml:space="preserve"> AP</w:t>
      </w:r>
      <w:r>
        <w:t xml:space="preserve">. </w:t>
      </w:r>
      <w:r w:rsidRPr="00CE4B7E">
        <w:t>Burden, Determinants, and Pharmacological Management of Hypertension in HIV-Positive Patients and Populations: A Systematic Narrative Review.</w:t>
      </w:r>
      <w:r>
        <w:t xml:space="preserve"> </w:t>
      </w:r>
      <w:r w:rsidRPr="00CE4B7E">
        <w:t>AIDS Rev. 2015 Apr-Jun</w:t>
      </w:r>
      <w:proofErr w:type="gramStart"/>
      <w:r w:rsidRPr="00CE4B7E">
        <w:t>;17</w:t>
      </w:r>
      <w:proofErr w:type="gramEnd"/>
      <w:r w:rsidRPr="00CE4B7E">
        <w:t>(2):83-95. Review</w:t>
      </w:r>
    </w:p>
  </w:footnote>
  <w:footnote w:id="7">
    <w:p w:rsidR="00E86ED4" w:rsidRDefault="00E86ED4">
      <w:pPr>
        <w:pStyle w:val="FootnoteText"/>
      </w:pPr>
      <w:r>
        <w:rPr>
          <w:rStyle w:val="FootnoteReference"/>
        </w:rPr>
        <w:footnoteRef/>
      </w:r>
      <w:r>
        <w:t xml:space="preserve"> </w:t>
      </w:r>
      <w:proofErr w:type="spellStart"/>
      <w:proofErr w:type="gramStart"/>
      <w:r w:rsidRPr="00E86ED4">
        <w:t>Krumholz</w:t>
      </w:r>
      <w:proofErr w:type="spellEnd"/>
      <w:r w:rsidRPr="00E86ED4">
        <w:t xml:space="preserve"> </w:t>
      </w:r>
      <w:proofErr w:type="spellStart"/>
      <w:r w:rsidRPr="00E86ED4">
        <w:t>HM.Blood</w:t>
      </w:r>
      <w:proofErr w:type="spellEnd"/>
      <w:r w:rsidRPr="00E86ED4">
        <w:t xml:space="preserve"> pressure guidelines as starting point in clinical decisions</w:t>
      </w:r>
      <w:r>
        <w:t>.</w:t>
      </w:r>
      <w:proofErr w:type="gramEnd"/>
      <w:r>
        <w:t xml:space="preserve"> </w:t>
      </w:r>
      <w:proofErr w:type="gramStart"/>
      <w:r w:rsidRPr="00E86ED4">
        <w:t>BMJ.</w:t>
      </w:r>
      <w:proofErr w:type="gramEnd"/>
      <w:r w:rsidRPr="00E86ED4">
        <w:t xml:space="preserve"> 2018 Jan 2</w:t>
      </w:r>
      <w:proofErr w:type="gramStart"/>
      <w:r w:rsidRPr="00E86ED4">
        <w:t>;360:j5862</w:t>
      </w:r>
      <w:proofErr w:type="gramEnd"/>
      <w:r w:rsidRPr="00E86ED4">
        <w:t xml:space="preserve">. </w:t>
      </w:r>
      <w:proofErr w:type="spellStart"/>
      <w:r w:rsidRPr="00E86ED4">
        <w:t>doi</w:t>
      </w:r>
      <w:proofErr w:type="spellEnd"/>
      <w:r w:rsidRPr="00E86ED4">
        <w:t>: 10.1136/bmj.j5862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499"/>
    <w:rsid w:val="00004030"/>
    <w:rsid w:val="00015FA6"/>
    <w:rsid w:val="00186A1B"/>
    <w:rsid w:val="0036090A"/>
    <w:rsid w:val="005D2225"/>
    <w:rsid w:val="005D2C65"/>
    <w:rsid w:val="005D314C"/>
    <w:rsid w:val="005E7EAA"/>
    <w:rsid w:val="006929DA"/>
    <w:rsid w:val="006F4672"/>
    <w:rsid w:val="00703499"/>
    <w:rsid w:val="00875E20"/>
    <w:rsid w:val="009222A7"/>
    <w:rsid w:val="00973A95"/>
    <w:rsid w:val="009D5679"/>
    <w:rsid w:val="009E01D0"/>
    <w:rsid w:val="00A4071D"/>
    <w:rsid w:val="00A51256"/>
    <w:rsid w:val="00B61F2E"/>
    <w:rsid w:val="00CA5FF6"/>
    <w:rsid w:val="00CE4B7E"/>
    <w:rsid w:val="00D044DB"/>
    <w:rsid w:val="00D73A34"/>
    <w:rsid w:val="00E7245E"/>
    <w:rsid w:val="00E86ED4"/>
    <w:rsid w:val="00E90BD5"/>
    <w:rsid w:val="00E934C2"/>
    <w:rsid w:val="00E966A3"/>
    <w:rsid w:val="00EE708A"/>
    <w:rsid w:val="00F959D5"/>
    <w:rsid w:val="00FB3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E4B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4B7E"/>
    <w:rPr>
      <w:sz w:val="20"/>
      <w:szCs w:val="20"/>
    </w:rPr>
  </w:style>
  <w:style w:type="character" w:styleId="FootnoteReference">
    <w:name w:val="footnote reference"/>
    <w:basedOn w:val="DefaultParagraphFont"/>
    <w:uiPriority w:val="99"/>
    <w:semiHidden/>
    <w:unhideWhenUsed/>
    <w:rsid w:val="00CE4B7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E4B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4B7E"/>
    <w:rPr>
      <w:sz w:val="20"/>
      <w:szCs w:val="20"/>
    </w:rPr>
  </w:style>
  <w:style w:type="character" w:styleId="FootnoteReference">
    <w:name w:val="footnote reference"/>
    <w:basedOn w:val="DefaultParagraphFont"/>
    <w:uiPriority w:val="99"/>
    <w:semiHidden/>
    <w:unhideWhenUsed/>
    <w:rsid w:val="00CE4B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72C94-2A28-41CA-9D24-B1C87CBB3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Royal Free Hospital NHS Trust</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Manmathan, Gavin</dc:creator>
  <cp:lastModifiedBy>Manmathan, Gavin</cp:lastModifiedBy>
  <cp:revision>9</cp:revision>
  <dcterms:created xsi:type="dcterms:W3CDTF">2018-06-01T10:08:00Z</dcterms:created>
  <dcterms:modified xsi:type="dcterms:W3CDTF">2018-06-08T16:14:00Z</dcterms:modified>
</cp:coreProperties>
</file>