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D83E8" w14:textId="77777777" w:rsidR="009B458E" w:rsidRDefault="009B458E" w:rsidP="009B458E">
      <w:pPr>
        <w:shd w:val="clear" w:color="auto" w:fill="FFFFFF" w:themeFill="background1"/>
        <w:spacing w:after="120"/>
        <w:ind w:left="350"/>
        <w:jc w:val="both"/>
        <w:textAlignment w:val="top"/>
        <w:rPr>
          <w:rFonts w:ascii="Arial Black" w:hAnsi="Arial Black" w:cs="Arial"/>
          <w:b/>
          <w:bCs/>
          <w:sz w:val="28"/>
          <w:szCs w:val="28"/>
          <w:lang w:val="en-US"/>
        </w:rPr>
      </w:pPr>
      <w:bookmarkStart w:id="0" w:name="_Hlk68251498"/>
    </w:p>
    <w:p w14:paraId="7A2A44A1" w14:textId="77777777" w:rsidR="009B458E" w:rsidRPr="008E6227" w:rsidRDefault="009B458E" w:rsidP="009B458E">
      <w:pPr>
        <w:shd w:val="clear" w:color="auto" w:fill="FFFFFF" w:themeFill="background1"/>
        <w:spacing w:after="120"/>
        <w:ind w:left="350"/>
        <w:jc w:val="both"/>
        <w:textAlignment w:val="top"/>
        <w:rPr>
          <w:rFonts w:ascii="Arial Black" w:hAnsi="Arial Black" w:cs="Arial"/>
          <w:b/>
          <w:bCs/>
          <w:sz w:val="28"/>
          <w:szCs w:val="28"/>
          <w:lang w:val="en-US"/>
        </w:rPr>
      </w:pPr>
      <w:r>
        <w:rPr>
          <w:rFonts w:ascii="Arial Black" w:hAnsi="Arial Black" w:cs="Arial"/>
          <w:b/>
          <w:bCs/>
          <w:sz w:val="28"/>
          <w:szCs w:val="28"/>
          <w:lang w:val="en-US"/>
        </w:rPr>
        <w:t xml:space="preserve">Customized </w:t>
      </w:r>
      <w:r w:rsidRPr="009129C7">
        <w:rPr>
          <w:rFonts w:ascii="Arial Black" w:hAnsi="Arial Black" w:cs="Arial"/>
          <w:b/>
          <w:bCs/>
          <w:sz w:val="28"/>
          <w:szCs w:val="28"/>
          <w:lang w:val="en-US"/>
        </w:rPr>
        <w:t>Expandable Polyurethane</w:t>
      </w:r>
      <w:r>
        <w:rPr>
          <w:rFonts w:ascii="Arial Black" w:hAnsi="Arial Black" w:cs="Arial"/>
          <w:b/>
          <w:bCs/>
          <w:sz w:val="28"/>
          <w:szCs w:val="28"/>
          <w:lang w:val="en-US"/>
        </w:rPr>
        <w:t xml:space="preserve"> </w:t>
      </w:r>
      <w:r w:rsidRPr="009129C7">
        <w:rPr>
          <w:rFonts w:ascii="Arial Black" w:hAnsi="Arial Black" w:cs="Arial"/>
          <w:b/>
          <w:bCs/>
          <w:sz w:val="28"/>
          <w:szCs w:val="28"/>
          <w:lang w:val="en-US"/>
        </w:rPr>
        <w:t>Stent Valve, implanted by catheter</w:t>
      </w:r>
      <w:r>
        <w:rPr>
          <w:rFonts w:ascii="Arial Black" w:hAnsi="Arial Black" w:cs="Arial"/>
          <w:b/>
          <w:bCs/>
          <w:sz w:val="28"/>
          <w:szCs w:val="28"/>
          <w:lang w:val="en-US"/>
        </w:rPr>
        <w:t xml:space="preserve">. </w:t>
      </w:r>
      <w:r w:rsidRPr="008E6227">
        <w:rPr>
          <w:rFonts w:ascii="Arial Black" w:hAnsi="Arial Black" w:cs="Arial"/>
          <w:b/>
          <w:bCs/>
          <w:sz w:val="28"/>
          <w:szCs w:val="28"/>
          <w:lang w:val="en-US"/>
        </w:rPr>
        <w:t>Strategies for Pulmonary Artery approach.</w:t>
      </w:r>
    </w:p>
    <w:p w14:paraId="4297BD50" w14:textId="7D9B7B76" w:rsidR="009B458E" w:rsidRDefault="009B458E" w:rsidP="009B458E">
      <w:pPr>
        <w:tabs>
          <w:tab w:val="left" w:pos="7088"/>
          <w:tab w:val="left" w:pos="7371"/>
        </w:tabs>
        <w:spacing w:line="360" w:lineRule="auto"/>
        <w:ind w:left="708" w:right="1119"/>
        <w:rPr>
          <w:rFonts w:ascii="Arial" w:hAnsi="Arial" w:cs="Arial"/>
          <w:sz w:val="24"/>
          <w:szCs w:val="24"/>
        </w:rPr>
      </w:pPr>
      <w:r w:rsidRPr="008E6227">
        <w:rPr>
          <w:rFonts w:ascii="Arial" w:hAnsi="Arial" w:cs="Arial"/>
          <w:sz w:val="24"/>
          <w:szCs w:val="24"/>
          <w:lang w:val="en-US"/>
        </w:rPr>
        <w:t xml:space="preserve">Miguel Maluf. MD, PhD; Alfredo A. Rodrigues. </w:t>
      </w:r>
      <w:r w:rsidRPr="00E03414">
        <w:rPr>
          <w:rFonts w:ascii="Arial" w:hAnsi="Arial" w:cs="Arial"/>
          <w:sz w:val="24"/>
          <w:szCs w:val="24"/>
        </w:rPr>
        <w:t>MD</w:t>
      </w:r>
      <w:r w:rsidR="008B2B90">
        <w:rPr>
          <w:rFonts w:ascii="Arial" w:hAnsi="Arial" w:cs="Arial"/>
          <w:sz w:val="24"/>
          <w:szCs w:val="24"/>
        </w:rPr>
        <w:t>;</w:t>
      </w:r>
      <w:r w:rsidRPr="00E03414">
        <w:rPr>
          <w:rFonts w:ascii="Arial" w:hAnsi="Arial" w:cs="Arial"/>
          <w:sz w:val="24"/>
          <w:szCs w:val="24"/>
        </w:rPr>
        <w:t xml:space="preserve"> </w:t>
      </w:r>
      <w:r w:rsidR="007508F0">
        <w:rPr>
          <w:rFonts w:ascii="Arial" w:hAnsi="Arial" w:cs="Arial"/>
          <w:sz w:val="24"/>
          <w:szCs w:val="24"/>
        </w:rPr>
        <w:t xml:space="preserve">Mariana Gurgel, </w:t>
      </w:r>
      <w:proofErr w:type="spellStart"/>
      <w:r w:rsidR="007508F0">
        <w:rPr>
          <w:rFonts w:ascii="Arial" w:hAnsi="Arial" w:cs="Arial"/>
          <w:sz w:val="24"/>
          <w:szCs w:val="24"/>
        </w:rPr>
        <w:t>Chem</w:t>
      </w:r>
      <w:proofErr w:type="spellEnd"/>
      <w:r w:rsidR="00B5150B">
        <w:rPr>
          <w:rFonts w:ascii="Arial" w:hAnsi="Arial" w:cs="Arial"/>
          <w:sz w:val="24"/>
          <w:szCs w:val="24"/>
        </w:rPr>
        <w:t>.</w:t>
      </w:r>
      <w:r w:rsidR="008B2B90">
        <w:rPr>
          <w:rFonts w:ascii="Arial" w:hAnsi="Arial" w:cs="Arial"/>
          <w:sz w:val="24"/>
          <w:szCs w:val="24"/>
        </w:rPr>
        <w:t>;</w:t>
      </w:r>
      <w:r w:rsidR="007508F0">
        <w:rPr>
          <w:rFonts w:ascii="Arial" w:hAnsi="Arial" w:cs="Arial"/>
          <w:sz w:val="24"/>
          <w:szCs w:val="24"/>
        </w:rPr>
        <w:t xml:space="preserve"> Evandro </w:t>
      </w:r>
      <w:proofErr w:type="spellStart"/>
      <w:r w:rsidR="007508F0">
        <w:rPr>
          <w:rFonts w:ascii="Arial" w:hAnsi="Arial" w:cs="Arial"/>
          <w:sz w:val="24"/>
          <w:szCs w:val="24"/>
        </w:rPr>
        <w:t>Drigo</w:t>
      </w:r>
      <w:proofErr w:type="spellEnd"/>
      <w:r w:rsidR="00B5150B">
        <w:rPr>
          <w:rFonts w:ascii="Arial" w:hAnsi="Arial" w:cs="Arial"/>
          <w:sz w:val="24"/>
          <w:szCs w:val="24"/>
        </w:rPr>
        <w:t xml:space="preserve"> Eng</w:t>
      </w:r>
      <w:r w:rsidR="007508F0">
        <w:rPr>
          <w:rFonts w:ascii="Arial" w:hAnsi="Arial" w:cs="Arial"/>
          <w:sz w:val="24"/>
          <w:szCs w:val="24"/>
        </w:rPr>
        <w:t xml:space="preserve">. </w:t>
      </w:r>
    </w:p>
    <w:p w14:paraId="52468465" w14:textId="77777777" w:rsidR="009B458E" w:rsidRPr="00E03414" w:rsidRDefault="009B458E" w:rsidP="009B458E">
      <w:pPr>
        <w:tabs>
          <w:tab w:val="left" w:pos="7088"/>
          <w:tab w:val="left" w:pos="7371"/>
        </w:tabs>
        <w:spacing w:line="360" w:lineRule="auto"/>
        <w:ind w:left="708" w:right="11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Cardiovascular Division – São Paulo Federal University</w:t>
      </w:r>
    </w:p>
    <w:p w14:paraId="76520AD4" w14:textId="7652BBE6" w:rsidR="009B458E" w:rsidRPr="008A4168" w:rsidRDefault="00B5150B" w:rsidP="009B458E">
      <w:pPr>
        <w:tabs>
          <w:tab w:val="left" w:pos="7088"/>
          <w:tab w:val="left" w:pos="7371"/>
        </w:tabs>
        <w:spacing w:line="360" w:lineRule="auto"/>
        <w:ind w:left="708" w:right="1119"/>
        <w:rPr>
          <w:rFonts w:ascii="Arial" w:hAnsi="Arial" w:cs="Arial"/>
          <w:position w:val="1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Synthetic Heart Technology - </w:t>
      </w:r>
      <w:r w:rsidR="009B458E">
        <w:rPr>
          <w:rFonts w:ascii="Arial" w:hAnsi="Arial" w:cs="Arial"/>
          <w:sz w:val="24"/>
          <w:szCs w:val="24"/>
        </w:rPr>
        <w:t>Surgical  Endovascular Center - São Paulo, Brasil</w:t>
      </w:r>
    </w:p>
    <w:p w14:paraId="447655AF" w14:textId="77777777" w:rsidR="009B458E" w:rsidRPr="00AF01F9" w:rsidRDefault="009B458E" w:rsidP="009B458E">
      <w:pPr>
        <w:tabs>
          <w:tab w:val="left" w:pos="7088"/>
          <w:tab w:val="left" w:pos="7371"/>
        </w:tabs>
        <w:spacing w:line="360" w:lineRule="auto"/>
        <w:ind w:right="1119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  <w:r w:rsidRPr="00AF01F9">
        <w:rPr>
          <w:rFonts w:ascii="Arial" w:hAnsi="Arial" w:cs="Arial"/>
          <w:b/>
          <w:bCs/>
          <w:position w:val="11"/>
          <w:sz w:val="24"/>
          <w:szCs w:val="24"/>
          <w:lang w:val="en-US"/>
        </w:rPr>
        <w:t>Summary</w:t>
      </w:r>
    </w:p>
    <w:bookmarkEnd w:id="0"/>
    <w:p w14:paraId="0AC1FF5B" w14:textId="77777777" w:rsidR="009B458E" w:rsidRPr="00B175CD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1F4FF8">
        <w:rPr>
          <w:rFonts w:ascii="Arial" w:eastAsiaTheme="minorHAnsi" w:hAnsi="Arial" w:cs="Arial"/>
          <w:b/>
          <w:bCs/>
          <w:color w:val="000000"/>
          <w:sz w:val="24"/>
          <w:szCs w:val="24"/>
          <w:lang w:val="en-US" w:eastAsia="en-US"/>
        </w:rPr>
        <w:t>Background: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Patients with tetralogy of Fallot, undergoing Right Ventricular Remodeling, in childhood, with or without pulmonary valve reconstruction, evolve, in the late follow-up, with pulmonary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insufficiency and 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Right Ventric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ular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dysfunction, requiring the implantation of a pulmonary prosthesis.</w:t>
      </w:r>
    </w:p>
    <w:p w14:paraId="4F6E054C" w14:textId="2E55CA56" w:rsidR="009B458E" w:rsidRPr="00B175CD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The anatomical variations of the pulmonary artery, associated with the presence of calcifications, dilations</w:t>
      </w:r>
      <w:r w:rsidR="0059356C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,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or stenosis </w:t>
      </w:r>
      <w:proofErr w:type="gramStart"/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as a result of</w:t>
      </w:r>
      <w:proofErr w:type="gramEnd"/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surgeries performed, </w:t>
      </w:r>
      <w:r w:rsidRPr="001C0526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require adequate planning in the surgical approach for Transcatheter Pulmo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n</w:t>
      </w:r>
      <w:r w:rsidRPr="001C0526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ary Valve Replacement - TPVR.</w:t>
      </w:r>
    </w:p>
    <w:p w14:paraId="4ACE1A23" w14:textId="0590215A" w:rsidR="009B458E" w:rsidRPr="00B175CD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1F4FF8">
        <w:rPr>
          <w:rFonts w:ascii="Arial" w:eastAsiaTheme="minorHAnsi" w:hAnsi="Arial" w:cs="Arial"/>
          <w:b/>
          <w:bCs/>
          <w:color w:val="000000"/>
          <w:sz w:val="24"/>
          <w:szCs w:val="24"/>
          <w:lang w:val="en-US" w:eastAsia="en-US"/>
        </w:rPr>
        <w:t>Material: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A new Expandable Polyurethane Stent Valve, implanted by catheter, in </w:t>
      </w:r>
      <w:r w:rsidR="00B5150B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the 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pulmonary position has been developed and approved in Biocompatibility, Physical, Hydrodynamic, Fatigue, Experimental</w:t>
      </w:r>
      <w:r w:rsidR="00B5150B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,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and Ultrastructure Study of explanted sheep prostheses after 24 months of follow-up,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analysis, 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following ISO 5840-3, 2015 </w:t>
      </w:r>
      <w:r w:rsidRPr="001C0526">
        <w:rPr>
          <w:rFonts w:ascii="Arial" w:eastAsiaTheme="minorHAnsi" w:hAnsi="Arial" w:cs="Arial"/>
          <w:color w:val="000000"/>
          <w:sz w:val="24"/>
          <w:szCs w:val="24"/>
          <w:vertAlign w:val="superscript"/>
          <w:lang w:val="en-US" w:eastAsia="en-US"/>
        </w:rPr>
        <w:t>1</w:t>
      </w:r>
    </w:p>
    <w:p w14:paraId="5FCD8F46" w14:textId="52FE6C5E" w:rsidR="009B458E" w:rsidRPr="00B175CD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1F4FF8">
        <w:rPr>
          <w:rFonts w:ascii="Arial" w:eastAsiaTheme="minorHAnsi" w:hAnsi="Arial" w:cs="Arial"/>
          <w:b/>
          <w:bCs/>
          <w:color w:val="000000"/>
          <w:sz w:val="24"/>
          <w:szCs w:val="24"/>
          <w:lang w:val="en-US" w:eastAsia="en-US"/>
        </w:rPr>
        <w:t>Method.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In a group of 43 adult patients, in </w:t>
      </w:r>
      <w:r w:rsidR="00B5150B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the 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late follow-up of surgical correction of Tetralogy of Fallot,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with late follow-up, at São Paulo Federal University, </w:t>
      </w:r>
      <w:r w:rsidRPr="001C0526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with </w:t>
      </w:r>
      <w:r w:rsidR="00B5150B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an </w:t>
      </w:r>
      <w:r w:rsidRPr="001C0526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indication for TPVR,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they were classified into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6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groups according to the anatomical aspects of the pulmonary artery, analyzed by CT Angiography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  <w:r w:rsidRPr="00B01BAF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and scheduled minimally invasive procedure intervention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, </w:t>
      </w:r>
      <w:r w:rsidRPr="00B01BAF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TPVR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:</w:t>
      </w:r>
    </w:p>
    <w:p w14:paraId="6BFE531C" w14:textId="77777777" w:rsidR="009B458E" w:rsidRPr="00BC5483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 Tipe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.1: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ulmonary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V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alve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I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nsufficiency (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PVI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)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</w:p>
    <w:p w14:paraId="16C73B7B" w14:textId="77777777" w:rsidR="009B458E" w:rsidRPr="00BC5483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Tipe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.2: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PVI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+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ulmonary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T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runk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(PT) 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stenosis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</w:p>
    <w:p w14:paraId="74419D25" w14:textId="77777777" w:rsidR="009B458E" w:rsidRPr="00BC5483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Tipe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.3: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PVI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+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PT 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aneurysmal dilation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</w:p>
    <w:p w14:paraId="14368EE1" w14:textId="77777777" w:rsidR="009B458E" w:rsidRPr="00B01BAF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B01BAF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 Tipe.4: PVI + PT + Right Pulmonary Artery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(</w:t>
      </w:r>
      <w:r w:rsidRPr="00B01BAF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RPA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)</w:t>
      </w:r>
      <w:r w:rsidRPr="00B01BAF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+ L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eft </w:t>
      </w:r>
      <w:r w:rsidRPr="00B01BAF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PA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(LPA) </w:t>
      </w:r>
      <w:r w:rsidRPr="00B01BAF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stenosis  </w:t>
      </w:r>
    </w:p>
    <w:p w14:paraId="0C13F9BA" w14:textId="77777777" w:rsidR="009B458E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6B5C0E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Tipe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.5: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</w:t>
      </w:r>
      <w:r w:rsidRPr="00BC5483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ulmonary prosthesis dysfunction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</w:p>
    <w:p w14:paraId="755FF995" w14:textId="77777777" w:rsidR="009B458E" w:rsidRPr="00BC5483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 Tipe.6: Valved Conduit (VC) disfunction </w:t>
      </w:r>
    </w:p>
    <w:p w14:paraId="7DF6BEFD" w14:textId="20E03CC3" w:rsidR="009B458E" w:rsidRPr="00B175CD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  <w:r w:rsidR="001F4FF8" w:rsidRPr="001F4FF8">
        <w:rPr>
          <w:rFonts w:ascii="Arial" w:eastAsiaTheme="minorHAnsi" w:hAnsi="Arial" w:cs="Arial"/>
          <w:b/>
          <w:bCs/>
          <w:color w:val="000000"/>
          <w:sz w:val="24"/>
          <w:szCs w:val="24"/>
          <w:lang w:val="en-US" w:eastAsia="en-US"/>
        </w:rPr>
        <w:t>Results</w:t>
      </w:r>
      <w:r w:rsidR="001F4FF8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: 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Through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post-processing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images by CT Angiography, it was possible to enlarge them to their natural size, followed by 3D printing,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inelastic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and transparent plastic mass, keeping the interior of the hollow cardiac cavities.</w:t>
      </w:r>
    </w:p>
    <w:p w14:paraId="7E09E578" w14:textId="055C2CF3" w:rsidR="009B458E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Custom prosthesis manufacturing: 3 transverse diameters (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T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D) are measured: T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D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1: At the level of the Pulmonary Ring; T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D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2: In the middle third of the TP and T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D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3: At the level of the origin of the pulmonary arteries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. 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Also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,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a lo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n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gitudinal measure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(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L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M)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, allows </w:t>
      </w:r>
      <w:r w:rsidR="00B5150B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for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knowing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the length of the prosthesis: Distance between the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ulmonary ring and the origin of the pulmonary arteries.</w:t>
      </w:r>
    </w:p>
    <w:p w14:paraId="5CB52CA5" w14:textId="7093C7A9" w:rsidR="009B458E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Patients older than 7 years are treated with interventional hemodynamic procedures: G1: TPVR procedure. G2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, 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G3</w:t>
      </w:r>
      <w:r w:rsidR="00B5150B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,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and G6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: Double Sent Valve</w:t>
      </w:r>
      <w:r w:rsidR="00B5150B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is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lastRenderedPageBreak/>
        <w:t>performed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. After implanting in the same surgical procedure, a cylindrical stent is </w:t>
      </w:r>
      <w:r w:rsidR="0059356C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first</w:t>
      </w:r>
      <w:r w:rsidRPr="00B175CD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implanted to correct the lesions in the pulmonary trunk and then the valve stent is implanted inside the cylindrical stent. In G4, as well as in patients under 7 years of age, valve stent implantation is performed by surgical approach; the correction of defects is made with synthetic material, such as a Polytetrafluoroethylene (PTFE) prosthesis or Polyurethane membrane, followed by implantation of a cylindrical stent.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G5: Valve in valve procedure is indicated.  </w:t>
      </w:r>
    </w:p>
    <w:p w14:paraId="6DD16122" w14:textId="2EF7F205" w:rsidR="009B458E" w:rsidRPr="008A4168" w:rsidRDefault="009B458E" w:rsidP="0090726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B17C5F">
        <w:rPr>
          <w:rFonts w:ascii="Arial" w:eastAsiaTheme="minorHAnsi" w:hAnsi="Arial" w:cs="Arial"/>
          <w:b/>
          <w:bCs/>
          <w:color w:val="000000"/>
          <w:sz w:val="24"/>
          <w:szCs w:val="24"/>
          <w:lang w:val="en-US" w:eastAsia="en-US"/>
        </w:rPr>
        <w:t>Conclusions</w:t>
      </w:r>
      <w:r w:rsidRPr="003F0517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: Expandable stent valves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with </w:t>
      </w:r>
      <w:r w:rsidRPr="003F0517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PU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leaflets, </w:t>
      </w:r>
      <w:r w:rsidR="0059356C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and </w:t>
      </w:r>
      <w:r w:rsidRPr="007343BA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calcification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resistance</w:t>
      </w:r>
      <w:r w:rsidRPr="003F0517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  <w:r w:rsidR="00907264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are</w:t>
      </w:r>
      <w:r w:rsidRPr="003F0517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expected to reduce the number of reoperations in</w:t>
      </w:r>
      <w:r w:rsidR="00907264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 xml:space="preserve"> </w:t>
      </w:r>
      <w:r w:rsidRPr="008A4168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pediatric patients.</w:t>
      </w:r>
    </w:p>
    <w:p w14:paraId="14884513" w14:textId="77777777" w:rsidR="009B458E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</w:p>
    <w:p w14:paraId="4ACE96C9" w14:textId="77777777" w:rsidR="009B458E" w:rsidRPr="008A4168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</w:p>
    <w:p w14:paraId="727B6F4A" w14:textId="77777777" w:rsidR="009B458E" w:rsidRPr="008A4168" w:rsidRDefault="009B458E" w:rsidP="009B458E">
      <w:pP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 w:rsidRPr="008A4168">
        <w:rPr>
          <w:rFonts w:ascii="Arial" w:eastAsiaTheme="minorHAnsi" w:hAnsi="Arial" w:cs="Arial"/>
          <w:b/>
          <w:bCs/>
          <w:color w:val="000000"/>
          <w:sz w:val="24"/>
          <w:szCs w:val="24"/>
          <w:lang w:val="en-US" w:eastAsia="en-US"/>
        </w:rPr>
        <w:t>References</w:t>
      </w:r>
      <w:r w:rsidRPr="008A4168"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:</w:t>
      </w:r>
    </w:p>
    <w:p w14:paraId="046954A9" w14:textId="77777777" w:rsidR="009B458E" w:rsidRPr="00AF01F9" w:rsidRDefault="009B458E" w:rsidP="009B458E">
      <w:pPr>
        <w:shd w:val="clear" w:color="auto" w:fill="FFFFFF" w:themeFill="background1"/>
        <w:spacing w:after="120"/>
        <w:ind w:left="350"/>
        <w:jc w:val="both"/>
        <w:textAlignment w:val="top"/>
        <w:rPr>
          <w:rFonts w:ascii="Arial" w:hAnsi="Arial" w:cs="Arial"/>
          <w:i/>
          <w:iCs/>
          <w:sz w:val="24"/>
          <w:szCs w:val="24"/>
          <w:lang w:val="en-US"/>
        </w:rPr>
      </w:pPr>
      <w:r w:rsidRPr="00AF01F9">
        <w:rPr>
          <w:rFonts w:ascii="Arial" w:hAnsi="Arial" w:cs="Arial"/>
          <w:b/>
          <w:bCs/>
          <w:sz w:val="24"/>
          <w:szCs w:val="24"/>
          <w:lang w:val="en-US"/>
        </w:rPr>
        <w:t>Miguel Maluf et al.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0E2CB6">
        <w:rPr>
          <w:rFonts w:ascii="Arial" w:hAnsi="Arial" w:cs="Arial"/>
          <w:sz w:val="24"/>
          <w:szCs w:val="24"/>
          <w:lang w:val="en-US"/>
        </w:rPr>
        <w:t>Expandable Polyurethane Stent Valve, implanted by catheter. Results of Physical, Hydrodynamic, animal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 w:rsidRPr="000E2CB6">
        <w:rPr>
          <w:rFonts w:ascii="Arial" w:hAnsi="Arial" w:cs="Arial"/>
          <w:sz w:val="24"/>
          <w:szCs w:val="24"/>
          <w:lang w:val="en-US"/>
        </w:rPr>
        <w:t>and structural studies</w:t>
      </w:r>
      <w:r>
        <w:rPr>
          <w:rFonts w:ascii="Arial" w:hAnsi="Arial" w:cs="Arial"/>
          <w:sz w:val="24"/>
          <w:szCs w:val="24"/>
          <w:lang w:val="en-US"/>
        </w:rPr>
        <w:t xml:space="preserve">. </w:t>
      </w:r>
      <w:r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  <w:r w:rsidRPr="000E2CB6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International Journal Innovation Science and Research Technology, March 2021, </w:t>
      </w:r>
      <w:r w:rsidRPr="000E2CB6">
        <w:rPr>
          <w:rFonts w:ascii="Arial" w:hAnsi="Arial" w:cs="Arial"/>
          <w:b/>
          <w:bCs/>
          <w:sz w:val="24"/>
          <w:szCs w:val="24"/>
          <w:lang w:val="en-US"/>
        </w:rPr>
        <w:t>6 (3): 354-9</w:t>
      </w:r>
      <w:r w:rsidRPr="00AF01F9">
        <w:rPr>
          <w:rFonts w:ascii="Arial" w:hAnsi="Arial" w:cs="Arial"/>
          <w:sz w:val="24"/>
          <w:szCs w:val="24"/>
          <w:lang w:val="en-US"/>
        </w:rPr>
        <w:t xml:space="preserve"> </w:t>
      </w:r>
      <w:r w:rsidRPr="00AF01F9">
        <w:rPr>
          <w:rFonts w:ascii="Arial" w:hAnsi="Arial" w:cs="Arial"/>
          <w:i/>
          <w:iCs/>
          <w:sz w:val="24"/>
          <w:szCs w:val="24"/>
          <w:lang w:val="en-US"/>
        </w:rPr>
        <w:t xml:space="preserve">  </w:t>
      </w:r>
    </w:p>
    <w:p w14:paraId="06AB8EB1" w14:textId="2F6C37FE" w:rsidR="008C1F4F" w:rsidRDefault="008C1F4F">
      <w:pPr>
        <w:rPr>
          <w:lang w:val="en-US"/>
        </w:rPr>
      </w:pPr>
    </w:p>
    <w:p w14:paraId="65ACC8B6" w14:textId="309CEC39" w:rsidR="003A31DF" w:rsidRDefault="003A31DF">
      <w:pPr>
        <w:rPr>
          <w:lang w:val="en-US"/>
        </w:rPr>
      </w:pPr>
    </w:p>
    <w:sectPr w:rsidR="003A31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F4F"/>
    <w:rsid w:val="001F4FF8"/>
    <w:rsid w:val="003A31DF"/>
    <w:rsid w:val="00462BD3"/>
    <w:rsid w:val="0059356C"/>
    <w:rsid w:val="007508F0"/>
    <w:rsid w:val="008B2B90"/>
    <w:rsid w:val="008C1F4F"/>
    <w:rsid w:val="008E6227"/>
    <w:rsid w:val="00907264"/>
    <w:rsid w:val="009B458E"/>
    <w:rsid w:val="00A164A6"/>
    <w:rsid w:val="00B5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70DA6"/>
  <w15:chartTrackingRefBased/>
  <w15:docId w15:val="{79282669-3EDB-435B-B57E-5BD0D923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3084</Characters>
  <Application>Microsoft Office Word</Application>
  <DocSecurity>0</DocSecurity>
  <Lines>62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Maluf</dc:creator>
  <cp:keywords/>
  <dc:description/>
  <cp:lastModifiedBy>Virginia Cecilia Ordonez de Maluf</cp:lastModifiedBy>
  <cp:revision>2</cp:revision>
  <dcterms:created xsi:type="dcterms:W3CDTF">2024-06-21T16:34:00Z</dcterms:created>
  <dcterms:modified xsi:type="dcterms:W3CDTF">2024-06-21T16:34:00Z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d50ace8ee1f62eac01dbc76857f5fcd55e19471f2eeb1fa7397b3af331f01614</vt:lpwstr>
  </property>
</Properties>
</file>