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C80" w:rsidRPr="00A03EAA" w:rsidRDefault="00794C80" w:rsidP="00794C80">
      <w:pPr>
        <w:tabs>
          <w:tab w:val="left" w:pos="964"/>
        </w:tabs>
        <w:rPr>
          <w:rFonts w:asciiTheme="majorHAnsi" w:hAnsiTheme="majorHAnsi"/>
          <w:b/>
          <w:sz w:val="28"/>
          <w:szCs w:val="28"/>
          <w:u w:val="single"/>
        </w:rPr>
      </w:pPr>
      <w:r w:rsidRPr="00A03EAA">
        <w:rPr>
          <w:rFonts w:asciiTheme="majorHAnsi" w:hAnsiTheme="majorHAnsi"/>
          <w:b/>
          <w:sz w:val="28"/>
          <w:szCs w:val="28"/>
          <w:u w:val="single"/>
        </w:rPr>
        <w:t>AYUSHMAN BHARAT THE NEW HEALTH INSURANCE ERA IN INDIA</w:t>
      </w:r>
    </w:p>
    <w:p w:rsidR="00A03EAA" w:rsidRDefault="00A03EAA" w:rsidP="00794C80">
      <w:pPr>
        <w:tabs>
          <w:tab w:val="left" w:pos="964"/>
        </w:tabs>
        <w:jc w:val="both"/>
        <w:rPr>
          <w:rFonts w:asciiTheme="majorHAnsi" w:hAnsiTheme="majorHAnsi"/>
        </w:rPr>
      </w:pP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Providing healthcare to 1.35 billion people regardless of their economic status is a challenging proposition for any government India, with its ever-growing healthcare demands and other demographic challenges, is still struggling with the three prerequisites of a Universal Healthcare Program-Accessibility, Affordability and quality.</w:t>
      </w: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 xml:space="preserve">While developments in technology have made health care more accessible, affordability still remains unrequited, with more than six </w:t>
      </w:r>
      <w:proofErr w:type="spellStart"/>
      <w:r w:rsidRPr="00A03EAA">
        <w:rPr>
          <w:rFonts w:asciiTheme="majorHAnsi" w:hAnsiTheme="majorHAnsi"/>
        </w:rPr>
        <w:t>crore</w:t>
      </w:r>
      <w:proofErr w:type="spellEnd"/>
      <w:r w:rsidRPr="00A03EAA">
        <w:rPr>
          <w:rFonts w:asciiTheme="majorHAnsi" w:hAnsiTheme="majorHAnsi"/>
        </w:rPr>
        <w:t xml:space="preserve"> people being pushed to poverty every year due to burgeoning healthcare costs.</w:t>
      </w: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 xml:space="preserve">Against this background, the Government of India’s National Health Policy 2017 (NHP-2017) has its goal fully aligned with the concept of Universal Health Coverage (UHC).The </w:t>
      </w:r>
      <w:proofErr w:type="spellStart"/>
      <w:r w:rsidRPr="00A03EAA">
        <w:rPr>
          <w:rFonts w:asciiTheme="majorHAnsi" w:hAnsiTheme="majorHAnsi"/>
        </w:rPr>
        <w:t>Ayushman</w:t>
      </w:r>
      <w:proofErr w:type="spellEnd"/>
      <w:r w:rsidRPr="00A03EAA">
        <w:rPr>
          <w:rFonts w:asciiTheme="majorHAnsi" w:hAnsiTheme="majorHAnsi"/>
        </w:rPr>
        <w:t xml:space="preserve"> Bharat Mission, announced in the union budget 2018-19 the Government of India, aims to carry NHP-2017 proposals forward. The mission has two components- Health and Wellness </w:t>
      </w:r>
      <w:proofErr w:type="spellStart"/>
      <w:r w:rsidRPr="00A03EAA">
        <w:rPr>
          <w:rFonts w:asciiTheme="majorHAnsi" w:hAnsiTheme="majorHAnsi"/>
        </w:rPr>
        <w:t>Centers</w:t>
      </w:r>
      <w:proofErr w:type="spellEnd"/>
      <w:r w:rsidRPr="00A03EAA">
        <w:rPr>
          <w:rFonts w:asciiTheme="majorHAnsi" w:hAnsiTheme="majorHAnsi"/>
        </w:rPr>
        <w:t xml:space="preserve"> and </w:t>
      </w:r>
      <w:proofErr w:type="spellStart"/>
      <w:r w:rsidRPr="00A03EAA">
        <w:rPr>
          <w:rFonts w:asciiTheme="majorHAnsi" w:hAnsiTheme="majorHAnsi"/>
        </w:rPr>
        <w:t>Pradhan</w:t>
      </w:r>
      <w:proofErr w:type="spellEnd"/>
      <w:r w:rsidRPr="00A03EAA">
        <w:rPr>
          <w:rFonts w:asciiTheme="majorHAnsi" w:hAnsiTheme="majorHAnsi"/>
        </w:rPr>
        <w:t xml:space="preserve"> </w:t>
      </w:r>
      <w:proofErr w:type="spellStart"/>
      <w:r w:rsidRPr="00A03EAA">
        <w:rPr>
          <w:rFonts w:asciiTheme="majorHAnsi" w:hAnsiTheme="majorHAnsi"/>
        </w:rPr>
        <w:t>Mantri</w:t>
      </w:r>
      <w:proofErr w:type="spellEnd"/>
      <w:r w:rsidRPr="00A03EAA">
        <w:rPr>
          <w:rFonts w:asciiTheme="majorHAnsi" w:hAnsiTheme="majorHAnsi"/>
        </w:rPr>
        <w:t xml:space="preserve"> Jan </w:t>
      </w:r>
      <w:proofErr w:type="spellStart"/>
      <w:r w:rsidRPr="00A03EAA">
        <w:rPr>
          <w:rFonts w:asciiTheme="majorHAnsi" w:hAnsiTheme="majorHAnsi"/>
        </w:rPr>
        <w:t>Arogya</w:t>
      </w:r>
      <w:proofErr w:type="spellEnd"/>
      <w:r w:rsidRPr="00A03EAA">
        <w:rPr>
          <w:rFonts w:asciiTheme="majorHAnsi" w:hAnsiTheme="majorHAnsi"/>
        </w:rPr>
        <w:t xml:space="preserve"> </w:t>
      </w:r>
      <w:proofErr w:type="spellStart"/>
      <w:r w:rsidRPr="00A03EAA">
        <w:rPr>
          <w:rFonts w:asciiTheme="majorHAnsi" w:hAnsiTheme="majorHAnsi"/>
        </w:rPr>
        <w:t>Yojana</w:t>
      </w:r>
      <w:proofErr w:type="spellEnd"/>
      <w:r w:rsidRPr="00A03EAA">
        <w:rPr>
          <w:rFonts w:asciiTheme="majorHAnsi" w:hAnsiTheme="majorHAnsi"/>
        </w:rPr>
        <w:t>-aiming for increased accessibility, availability and affordability of primary, secondary and tertiary care health services in India.</w:t>
      </w: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 xml:space="preserve">With privet sector contributing to 70% of in-patient and 60% of out-patient care services in the country, the government has rightly sought to include the privet sector in provisioning care of the beneficiaries under this mission. However, for successful implementation of the AB-PMJAY it is imperative that the suitable and sustainable reimbursement models is offered to the </w:t>
      </w:r>
      <w:r w:rsidR="00562C1C" w:rsidRPr="00A03EAA">
        <w:rPr>
          <w:rFonts w:asciiTheme="majorHAnsi" w:hAnsiTheme="majorHAnsi"/>
        </w:rPr>
        <w:t>private</w:t>
      </w:r>
      <w:r w:rsidRPr="00A03EAA">
        <w:rPr>
          <w:rFonts w:asciiTheme="majorHAnsi" w:hAnsiTheme="majorHAnsi"/>
        </w:rPr>
        <w:t xml:space="preserve"> hospitals, considering the viability of their establishment, This calls for an understanding of cost incurred in providing health care services.</w:t>
      </w: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Costing in healthcare is complex due to the nature of delivery of services. There are several practical issues in capturing utilization of resources by the activities within the delivery system. The health services require resources at multiple points of delivery within the system, with varying intensity of consumptions of resources.</w:t>
      </w: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The traditional methods of costing are unable to capture the consumption of resources by various activities and lead to either over or under recovery. Hence, there is an urgent need for a scientific study to demystify the costs associated with delivery of healthcare.</w:t>
      </w:r>
    </w:p>
    <w:p w:rsidR="00562C1C" w:rsidRPr="00A03EAA" w:rsidRDefault="00562C1C" w:rsidP="00794C80">
      <w:pPr>
        <w:tabs>
          <w:tab w:val="left" w:pos="964"/>
        </w:tabs>
        <w:jc w:val="both"/>
        <w:rPr>
          <w:rFonts w:asciiTheme="majorHAnsi" w:hAnsiTheme="majorHAnsi"/>
        </w:rPr>
      </w:pPr>
      <w:r w:rsidRPr="00A03EAA">
        <w:rPr>
          <w:rFonts w:asciiTheme="majorHAnsi" w:hAnsiTheme="majorHAnsi"/>
        </w:rPr>
        <w:t>Our team</w:t>
      </w:r>
      <w:r w:rsidR="00794C80" w:rsidRPr="00A03EAA">
        <w:rPr>
          <w:rFonts w:asciiTheme="majorHAnsi" w:hAnsiTheme="majorHAnsi"/>
        </w:rPr>
        <w:t xml:space="preserve"> has conducted a pilots study by employing Time Driven Activity Based Costing (TDABC). TDABC, a simple and powerful tool, is able to capture the cost per unit of every resource based on the standard capacity and actual utilization of the capacity. This method maps the resources to arrive at the cost. </w:t>
      </w: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The study has selected a cross-section of procedures and hospitals from different locations and of different sizes. The study has brought out several aspects of healthcare costs.</w:t>
      </w:r>
    </w:p>
    <w:p w:rsidR="00794C80" w:rsidRPr="00A03EAA" w:rsidRDefault="00794C80" w:rsidP="00794C80">
      <w:pPr>
        <w:tabs>
          <w:tab w:val="left" w:pos="964"/>
        </w:tabs>
        <w:jc w:val="both"/>
        <w:rPr>
          <w:rFonts w:asciiTheme="majorHAnsi" w:hAnsiTheme="majorHAnsi"/>
        </w:rPr>
      </w:pPr>
      <w:r w:rsidRPr="00A03EAA">
        <w:rPr>
          <w:rFonts w:asciiTheme="majorHAnsi" w:hAnsiTheme="majorHAnsi"/>
        </w:rPr>
        <w:t>The impact of costs due to location and size is different on various components of cost like manpower, machinery, materials and expenses/overheads.</w:t>
      </w:r>
    </w:p>
    <w:p w:rsidR="00562C1C" w:rsidRPr="00A03EAA" w:rsidRDefault="00562C1C" w:rsidP="00A03EAA">
      <w:pPr>
        <w:tabs>
          <w:tab w:val="left" w:pos="7877"/>
        </w:tabs>
        <w:jc w:val="both"/>
        <w:rPr>
          <w:rFonts w:asciiTheme="majorHAnsi" w:hAnsiTheme="majorHAnsi"/>
        </w:rPr>
      </w:pPr>
      <w:r w:rsidRPr="00A03EAA">
        <w:rPr>
          <w:rFonts w:asciiTheme="majorHAnsi" w:hAnsiTheme="majorHAnsi"/>
        </w:rPr>
        <w:t xml:space="preserve"> </w:t>
      </w:r>
    </w:p>
    <w:p w:rsidR="00562C1C" w:rsidRPr="00A03EAA" w:rsidRDefault="00562C1C" w:rsidP="00562C1C">
      <w:pPr>
        <w:tabs>
          <w:tab w:val="left" w:pos="964"/>
        </w:tabs>
        <w:spacing w:after="0"/>
        <w:rPr>
          <w:rFonts w:asciiTheme="majorHAnsi" w:hAnsiTheme="majorHAnsi"/>
        </w:rPr>
      </w:pPr>
      <w:r w:rsidRPr="00A03EAA">
        <w:rPr>
          <w:rFonts w:asciiTheme="majorHAnsi" w:hAnsiTheme="majorHAnsi"/>
        </w:rPr>
        <w:tab/>
      </w:r>
      <w:r w:rsidRPr="00A03EAA">
        <w:rPr>
          <w:rFonts w:asciiTheme="majorHAnsi" w:hAnsiTheme="majorHAnsi"/>
        </w:rPr>
        <w:tab/>
      </w:r>
      <w:r w:rsidRPr="00A03EAA">
        <w:rPr>
          <w:rFonts w:asciiTheme="majorHAnsi" w:hAnsiTheme="majorHAnsi"/>
        </w:rPr>
        <w:tab/>
      </w:r>
      <w:r w:rsidRPr="00A03EAA">
        <w:rPr>
          <w:rFonts w:asciiTheme="majorHAnsi" w:hAnsiTheme="majorHAnsi"/>
        </w:rPr>
        <w:tab/>
      </w:r>
      <w:r w:rsidRPr="00A03EAA">
        <w:rPr>
          <w:rFonts w:asciiTheme="majorHAnsi" w:hAnsiTheme="majorHAnsi"/>
        </w:rPr>
        <w:tab/>
      </w:r>
      <w:r w:rsidRPr="00A03EAA">
        <w:rPr>
          <w:rFonts w:asciiTheme="majorHAnsi" w:hAnsiTheme="majorHAnsi"/>
        </w:rPr>
        <w:tab/>
      </w:r>
      <w:r w:rsidRPr="00A03EAA">
        <w:rPr>
          <w:rFonts w:asciiTheme="majorHAnsi" w:hAnsiTheme="majorHAnsi"/>
        </w:rPr>
        <w:tab/>
        <w:t xml:space="preserve">   </w:t>
      </w:r>
      <w:r w:rsidR="00A03EAA">
        <w:rPr>
          <w:rFonts w:asciiTheme="majorHAnsi" w:hAnsiTheme="majorHAnsi"/>
        </w:rPr>
        <w:t xml:space="preserve">                  </w:t>
      </w:r>
      <w:proofErr w:type="spellStart"/>
      <w:r w:rsidRPr="00A03EAA">
        <w:rPr>
          <w:rFonts w:asciiTheme="majorHAnsi" w:hAnsiTheme="majorHAnsi"/>
        </w:rPr>
        <w:t>Ramees</w:t>
      </w:r>
      <w:proofErr w:type="spellEnd"/>
      <w:r w:rsidRPr="00A03EAA">
        <w:rPr>
          <w:rFonts w:asciiTheme="majorHAnsi" w:hAnsiTheme="majorHAnsi"/>
        </w:rPr>
        <w:t xml:space="preserve"> P M</w:t>
      </w:r>
    </w:p>
    <w:p w:rsidR="00562C1C" w:rsidRPr="00A03EAA" w:rsidRDefault="00562C1C" w:rsidP="00562C1C">
      <w:pPr>
        <w:tabs>
          <w:tab w:val="left" w:pos="964"/>
        </w:tabs>
        <w:spacing w:after="0"/>
        <w:rPr>
          <w:rFonts w:asciiTheme="majorHAnsi" w:hAnsiTheme="majorHAnsi"/>
        </w:rPr>
      </w:pPr>
      <w:r w:rsidRPr="00A03EAA">
        <w:rPr>
          <w:rFonts w:asciiTheme="majorHAnsi" w:hAnsiTheme="majorHAnsi"/>
        </w:rPr>
        <w:t xml:space="preserve">                                                                    </w:t>
      </w:r>
      <w:r w:rsidR="00A03EAA">
        <w:rPr>
          <w:rFonts w:asciiTheme="majorHAnsi" w:hAnsiTheme="majorHAnsi"/>
        </w:rPr>
        <w:t xml:space="preserve">                                                        </w:t>
      </w:r>
      <w:r w:rsidRPr="00A03EAA">
        <w:rPr>
          <w:rFonts w:asciiTheme="majorHAnsi" w:hAnsiTheme="majorHAnsi"/>
        </w:rPr>
        <w:t xml:space="preserve"> Chief Operating Officer</w:t>
      </w:r>
    </w:p>
    <w:p w:rsidR="00562C1C" w:rsidRPr="00A03EAA" w:rsidRDefault="00562C1C" w:rsidP="00562C1C">
      <w:pPr>
        <w:tabs>
          <w:tab w:val="left" w:pos="964"/>
        </w:tabs>
        <w:spacing w:after="0"/>
        <w:rPr>
          <w:rFonts w:asciiTheme="majorHAnsi" w:hAnsiTheme="majorHAnsi"/>
        </w:rPr>
      </w:pPr>
      <w:r w:rsidRPr="00A03EAA">
        <w:rPr>
          <w:rFonts w:asciiTheme="majorHAnsi" w:hAnsiTheme="majorHAnsi"/>
        </w:rPr>
        <w:t xml:space="preserve">                                                                     </w:t>
      </w:r>
      <w:r w:rsidR="00A03EAA">
        <w:rPr>
          <w:rFonts w:asciiTheme="majorHAnsi" w:hAnsiTheme="majorHAnsi"/>
        </w:rPr>
        <w:t xml:space="preserve">                                                        </w:t>
      </w:r>
      <w:r w:rsidRPr="00A03EAA">
        <w:rPr>
          <w:rFonts w:asciiTheme="majorHAnsi" w:hAnsiTheme="majorHAnsi"/>
        </w:rPr>
        <w:t>KMCT Medical College Hospital</w:t>
      </w:r>
    </w:p>
    <w:p w:rsidR="00562C1C" w:rsidRPr="00A03EAA" w:rsidRDefault="00562C1C" w:rsidP="00562C1C">
      <w:pPr>
        <w:tabs>
          <w:tab w:val="left" w:pos="964"/>
        </w:tabs>
        <w:spacing w:after="0"/>
        <w:rPr>
          <w:rFonts w:asciiTheme="majorHAnsi" w:hAnsiTheme="majorHAnsi"/>
        </w:rPr>
      </w:pPr>
      <w:r w:rsidRPr="00A03EAA">
        <w:rPr>
          <w:rFonts w:asciiTheme="majorHAnsi" w:hAnsiTheme="majorHAnsi"/>
        </w:rPr>
        <w:t xml:space="preserve">                                                                     </w:t>
      </w:r>
      <w:r w:rsidR="00A03EAA">
        <w:rPr>
          <w:rFonts w:asciiTheme="majorHAnsi" w:hAnsiTheme="majorHAnsi"/>
        </w:rPr>
        <w:t xml:space="preserve">                                                        </w:t>
      </w:r>
      <w:r w:rsidRPr="00A03EAA">
        <w:rPr>
          <w:rFonts w:asciiTheme="majorHAnsi" w:hAnsiTheme="majorHAnsi"/>
        </w:rPr>
        <w:t>Calicut, Kerala</w:t>
      </w:r>
    </w:p>
    <w:p w:rsidR="00562C1C" w:rsidRPr="00A03EAA" w:rsidRDefault="00562C1C" w:rsidP="00562C1C">
      <w:pPr>
        <w:tabs>
          <w:tab w:val="left" w:pos="964"/>
        </w:tabs>
        <w:spacing w:after="0"/>
        <w:rPr>
          <w:rFonts w:asciiTheme="majorHAnsi" w:hAnsiTheme="majorHAnsi"/>
        </w:rPr>
      </w:pPr>
      <w:r w:rsidRPr="00A03EAA">
        <w:rPr>
          <w:rFonts w:asciiTheme="majorHAnsi" w:hAnsiTheme="majorHAnsi"/>
        </w:rPr>
        <w:t xml:space="preserve">                                                                     </w:t>
      </w:r>
      <w:r w:rsidR="00A03EAA">
        <w:rPr>
          <w:rFonts w:asciiTheme="majorHAnsi" w:hAnsiTheme="majorHAnsi"/>
        </w:rPr>
        <w:t xml:space="preserve">                                                        </w:t>
      </w:r>
      <w:r w:rsidRPr="00A03EAA">
        <w:rPr>
          <w:rFonts w:asciiTheme="majorHAnsi" w:hAnsiTheme="majorHAnsi"/>
        </w:rPr>
        <w:t>India</w:t>
      </w:r>
    </w:p>
    <w:p w:rsidR="00562C1C" w:rsidRDefault="00562C1C" w:rsidP="00562C1C">
      <w:pPr>
        <w:tabs>
          <w:tab w:val="left" w:pos="964"/>
        </w:tabs>
        <w:spacing w:after="0"/>
        <w:rPr>
          <w:rFonts w:ascii="Bookman Old Style" w:hAnsi="Bookman Old Style"/>
          <w:sz w:val="24"/>
          <w:szCs w:val="24"/>
        </w:rPr>
      </w:pPr>
      <w:r>
        <w:rPr>
          <w:rFonts w:ascii="Bookman Old Style" w:hAnsi="Bookman Old Style"/>
          <w:sz w:val="24"/>
          <w:szCs w:val="24"/>
        </w:rPr>
        <w:t xml:space="preserve">                                                                     </w:t>
      </w:r>
      <w:r w:rsidR="00A03EAA">
        <w:rPr>
          <w:rFonts w:ascii="Bookman Old Style" w:hAnsi="Bookman Old Style"/>
          <w:sz w:val="24"/>
          <w:szCs w:val="24"/>
        </w:rPr>
        <w:t xml:space="preserve">          </w:t>
      </w:r>
      <w:r>
        <w:rPr>
          <w:rFonts w:ascii="Bookman Old Style" w:hAnsi="Bookman Old Style"/>
          <w:sz w:val="24"/>
          <w:szCs w:val="24"/>
        </w:rPr>
        <w:t>9895220077</w:t>
      </w:r>
    </w:p>
    <w:p w:rsidR="00794C80" w:rsidRDefault="00794C80" w:rsidP="00562C1C">
      <w:pPr>
        <w:tabs>
          <w:tab w:val="left" w:pos="964"/>
        </w:tabs>
        <w:spacing w:after="0"/>
        <w:rPr>
          <w:rFonts w:ascii="Bookman Old Style" w:hAnsi="Bookman Old Style"/>
          <w:sz w:val="24"/>
          <w:szCs w:val="24"/>
        </w:rPr>
      </w:pPr>
      <w:r>
        <w:rPr>
          <w:rFonts w:ascii="Bookman Old Style" w:hAnsi="Bookman Old Style"/>
          <w:sz w:val="24"/>
          <w:szCs w:val="24"/>
        </w:rPr>
        <w:t xml:space="preserve">  </w:t>
      </w:r>
    </w:p>
    <w:sectPr w:rsidR="00794C80" w:rsidSect="00562C1C">
      <w:pgSz w:w="11906" w:h="16838"/>
      <w:pgMar w:top="426" w:right="144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useFELayout/>
  </w:compat>
  <w:rsids>
    <w:rsidRoot w:val="00794C80"/>
    <w:rsid w:val="003A06D2"/>
    <w:rsid w:val="00562C1C"/>
    <w:rsid w:val="00794C80"/>
    <w:rsid w:val="009F6675"/>
    <w:rsid w:val="00A03EAA"/>
    <w:rsid w:val="00CD02C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6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1786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2019-09-26T04:18:00Z</cp:lastPrinted>
  <dcterms:created xsi:type="dcterms:W3CDTF">2019-09-21T10:30:00Z</dcterms:created>
  <dcterms:modified xsi:type="dcterms:W3CDTF">2019-09-26T04:29:00Z</dcterms:modified>
</cp:coreProperties>
</file>