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FAE16A" w14:textId="588DE841" w:rsidR="00724791" w:rsidRPr="005025BA" w:rsidRDefault="00D46FBA" w:rsidP="00D46FBA">
      <w:pPr>
        <w:spacing w:line="360" w:lineRule="auto"/>
        <w:ind w:right="-6"/>
        <w:jc w:val="both"/>
        <w:rPr>
          <w:rFonts w:ascii="Garamond" w:hAnsi="Garamond"/>
          <w:lang w:val="en-US"/>
        </w:rPr>
      </w:pPr>
      <w:bookmarkStart w:id="0" w:name="_GoBack"/>
      <w:bookmarkEnd w:id="0"/>
      <w:r>
        <w:rPr>
          <w:noProof/>
        </w:rPr>
        <mc:AlternateContent>
          <mc:Choice Requires="wps">
            <w:drawing>
              <wp:anchor distT="0" distB="0" distL="114300" distR="114300" simplePos="0" relativeHeight="251659264" behindDoc="0" locked="0" layoutInCell="1" allowOverlap="1" wp14:anchorId="5713F33B" wp14:editId="336714AC">
                <wp:simplePos x="0" y="0"/>
                <wp:positionH relativeFrom="column">
                  <wp:posOffset>0</wp:posOffset>
                </wp:positionH>
                <wp:positionV relativeFrom="paragraph">
                  <wp:posOffset>0</wp:posOffset>
                </wp:positionV>
                <wp:extent cx="5756910" cy="10235565"/>
                <wp:effectExtent l="0" t="0" r="0" b="0"/>
                <wp:wrapSquare wrapText="bothSides"/>
                <wp:docPr id="1" name="Zone de texte 1"/>
                <wp:cNvGraphicFramePr/>
                <a:graphic xmlns:a="http://schemas.openxmlformats.org/drawingml/2006/main">
                  <a:graphicData uri="http://schemas.microsoft.com/office/word/2010/wordprocessingShape">
                    <wps:wsp>
                      <wps:cNvSpPr txBox="1"/>
                      <wps:spPr>
                        <a:xfrm>
                          <a:off x="0" y="0"/>
                          <a:ext cx="5756910" cy="10235565"/>
                        </a:xfrm>
                        <a:prstGeom prst="rect">
                          <a:avLst/>
                        </a:prstGeom>
                        <a:noFill/>
                        <a:ln>
                          <a:noFill/>
                        </a:ln>
                        <a:effectLst/>
                        <a:extLst>
                          <a:ext uri="{C572A759-6A51-4108-AA02-DFA0A04FC94B}">
                            <ma14:wrappingTextBoxFlag xmlns:ma14="http://schemas.microsoft.com/office/mac/drawingml/2011/main"/>
                          </a:ext>
                        </a:extLst>
                      </wps:spPr>
                      <wps:txbx>
                        <w:txbxContent>
                          <w:p w14:paraId="08B3FB0F" w14:textId="77777777" w:rsidR="00D46FBA" w:rsidRPr="00DE18C1" w:rsidRDefault="00D46FBA" w:rsidP="00D46FBA">
                            <w:pPr>
                              <w:ind w:right="-6"/>
                              <w:jc w:val="center"/>
                              <w:rPr>
                                <w:rFonts w:ascii="Garamond" w:hAnsi="Garamond"/>
                                <w:b/>
                                <w:lang w:val="en-US"/>
                              </w:rPr>
                            </w:pPr>
                          </w:p>
                          <w:p w14:paraId="23DE3F1D" w14:textId="04C1AC65" w:rsidR="00D46FBA" w:rsidRDefault="00D46FBA" w:rsidP="00D46FBA">
                            <w:pPr>
                              <w:spacing w:line="360" w:lineRule="auto"/>
                              <w:ind w:right="-6"/>
                              <w:jc w:val="center"/>
                              <w:rPr>
                                <w:rFonts w:ascii="Garamond" w:hAnsi="Garamond"/>
                                <w:b/>
                                <w:sz w:val="28"/>
                                <w:szCs w:val="28"/>
                                <w:lang w:val="en-US"/>
                              </w:rPr>
                            </w:pPr>
                            <w:r w:rsidRPr="004A082B">
                              <w:rPr>
                                <w:rFonts w:ascii="Garamond" w:hAnsi="Garamond"/>
                                <w:b/>
                                <w:sz w:val="28"/>
                                <w:szCs w:val="28"/>
                                <w:lang w:val="en-US"/>
                              </w:rPr>
                              <w:t xml:space="preserve">Functional cure for HIV </w:t>
                            </w:r>
                          </w:p>
                          <w:p w14:paraId="14FF5DEF" w14:textId="77777777" w:rsidR="0029646C" w:rsidRPr="0029646C" w:rsidRDefault="0029646C" w:rsidP="00D46FBA">
                            <w:pPr>
                              <w:spacing w:line="360" w:lineRule="auto"/>
                              <w:ind w:right="-6"/>
                              <w:jc w:val="center"/>
                              <w:rPr>
                                <w:rFonts w:ascii="Garamond" w:hAnsi="Garamond"/>
                                <w:b/>
                                <w:sz w:val="28"/>
                                <w:szCs w:val="28"/>
                                <w:lang w:val="en-US"/>
                              </w:rPr>
                            </w:pPr>
                          </w:p>
                          <w:p w14:paraId="2028087D" w14:textId="77777777" w:rsidR="00D46FBA" w:rsidRPr="0029646C" w:rsidRDefault="00D46FBA" w:rsidP="0029646C">
                            <w:pPr>
                              <w:ind w:right="-6"/>
                              <w:jc w:val="both"/>
                              <w:rPr>
                                <w:rFonts w:ascii="Garamond" w:hAnsi="Garamond"/>
                                <w:b/>
                              </w:rPr>
                            </w:pPr>
                            <w:r w:rsidRPr="0029646C">
                              <w:rPr>
                                <w:rFonts w:ascii="Garamond" w:hAnsi="Garamond"/>
                                <w:b/>
                              </w:rPr>
                              <w:t xml:space="preserve">Benoît Lacombe </w:t>
                            </w:r>
                            <w:proofErr w:type="gramStart"/>
                            <w:r w:rsidRPr="0029646C">
                              <w:rPr>
                                <w:rFonts w:ascii="Garamond" w:hAnsi="Garamond"/>
                                <w:b/>
                                <w:vertAlign w:val="superscript"/>
                              </w:rPr>
                              <w:t>1 ,</w:t>
                            </w:r>
                            <w:proofErr w:type="gramEnd"/>
                            <w:r w:rsidRPr="0029646C">
                              <w:rPr>
                                <w:rFonts w:ascii="Garamond" w:hAnsi="Garamond"/>
                                <w:b/>
                                <w:vertAlign w:val="superscript"/>
                              </w:rPr>
                              <w:t>2,3</w:t>
                            </w:r>
                            <w:r w:rsidRPr="0029646C">
                              <w:rPr>
                                <w:rFonts w:ascii="Garamond" w:hAnsi="Garamond"/>
                                <w:b/>
                              </w:rPr>
                              <w:t xml:space="preserve">, Marina Morel </w:t>
                            </w:r>
                            <w:r w:rsidRPr="0029646C">
                              <w:rPr>
                                <w:rFonts w:ascii="Garamond" w:hAnsi="Garamond"/>
                                <w:b/>
                                <w:vertAlign w:val="superscript"/>
                              </w:rPr>
                              <w:t>1,2,3</w:t>
                            </w:r>
                            <w:r w:rsidRPr="0029646C">
                              <w:rPr>
                                <w:rFonts w:ascii="Garamond" w:hAnsi="Garamond"/>
                                <w:b/>
                              </w:rPr>
                              <w:t xml:space="preserve">, Florence Margottin-Goguet </w:t>
                            </w:r>
                            <w:r w:rsidRPr="0029646C">
                              <w:rPr>
                                <w:rFonts w:ascii="Garamond" w:hAnsi="Garamond"/>
                                <w:b/>
                                <w:vertAlign w:val="superscript"/>
                              </w:rPr>
                              <w:t>1,2,3</w:t>
                            </w:r>
                            <w:r w:rsidRPr="0029646C">
                              <w:rPr>
                                <w:rFonts w:ascii="Garamond" w:hAnsi="Garamond"/>
                                <w:b/>
                              </w:rPr>
                              <w:t>,</w:t>
                            </w:r>
                          </w:p>
                          <w:p w14:paraId="3ADA6BCB" w14:textId="77777777" w:rsidR="00D46FBA" w:rsidRPr="0029646C" w:rsidRDefault="00D46FBA" w:rsidP="0029646C">
                            <w:pPr>
                              <w:ind w:right="-6"/>
                              <w:jc w:val="both"/>
                              <w:rPr>
                                <w:rFonts w:ascii="Garamond" w:hAnsi="Garamond"/>
                                <w:b/>
                              </w:rPr>
                            </w:pPr>
                            <w:r w:rsidRPr="0029646C">
                              <w:rPr>
                                <w:rFonts w:ascii="Garamond" w:hAnsi="Garamond"/>
                                <w:b/>
                              </w:rPr>
                              <w:t>Bertha Cecilia Ramirez</w:t>
                            </w:r>
                            <w:r w:rsidRPr="0029646C">
                              <w:rPr>
                                <w:rFonts w:ascii="Garamond" w:hAnsi="Garamond"/>
                                <w:b/>
                                <w:vertAlign w:val="superscript"/>
                              </w:rPr>
                              <w:t>1</w:t>
                            </w:r>
                            <w:proofErr w:type="gramStart"/>
                            <w:r w:rsidRPr="0029646C">
                              <w:rPr>
                                <w:rFonts w:ascii="Garamond" w:hAnsi="Garamond"/>
                                <w:b/>
                                <w:vertAlign w:val="superscript"/>
                              </w:rPr>
                              <w:t>,2,3</w:t>
                            </w:r>
                            <w:proofErr w:type="gramEnd"/>
                          </w:p>
                          <w:p w14:paraId="6866100D" w14:textId="77777777" w:rsidR="00D46FBA" w:rsidRPr="00DE18C1" w:rsidRDefault="00D46FBA" w:rsidP="00D46FBA">
                            <w:pPr>
                              <w:ind w:right="-6"/>
                              <w:rPr>
                                <w:rFonts w:ascii="Garamond" w:hAnsi="Garamond"/>
                                <w:vertAlign w:val="superscript"/>
                              </w:rPr>
                            </w:pPr>
                          </w:p>
                          <w:p w14:paraId="2E82C39A" w14:textId="77777777" w:rsidR="00D46FBA" w:rsidRPr="00DE18C1" w:rsidRDefault="00D46FBA" w:rsidP="00D46FBA">
                            <w:pPr>
                              <w:autoSpaceDE w:val="0"/>
                              <w:autoSpaceDN w:val="0"/>
                              <w:adjustRightInd w:val="0"/>
                              <w:ind w:right="-6"/>
                              <w:rPr>
                                <w:rFonts w:ascii="Garamond" w:hAnsi="Garamond" w:cs="AdvTTb5929f4c"/>
                              </w:rPr>
                            </w:pPr>
                            <w:r w:rsidRPr="00DE18C1">
                              <w:rPr>
                                <w:rFonts w:ascii="Garamond" w:hAnsi="Garamond" w:cs="AdvTTb5929f4c"/>
                                <w:vertAlign w:val="superscript"/>
                              </w:rPr>
                              <w:t>1</w:t>
                            </w:r>
                            <w:r w:rsidRPr="00DE18C1">
                              <w:rPr>
                                <w:rFonts w:ascii="Garamond" w:hAnsi="Garamond" w:cs="AdvTTb5929f4c"/>
                              </w:rPr>
                              <w:t xml:space="preserve"> Institut Cochin, 22 rue Méchain, 75014, Paris, France. </w:t>
                            </w:r>
                          </w:p>
                          <w:p w14:paraId="6996AE9A" w14:textId="77777777" w:rsidR="00D46FBA" w:rsidRPr="00DE18C1" w:rsidRDefault="00D46FBA" w:rsidP="00D46FBA">
                            <w:pPr>
                              <w:autoSpaceDE w:val="0"/>
                              <w:autoSpaceDN w:val="0"/>
                              <w:adjustRightInd w:val="0"/>
                              <w:ind w:right="-6"/>
                              <w:rPr>
                                <w:rFonts w:ascii="Garamond" w:hAnsi="Garamond" w:cs="AdvTTb5929f4c"/>
                              </w:rPr>
                            </w:pPr>
                            <w:r w:rsidRPr="00DE18C1">
                              <w:rPr>
                                <w:rFonts w:ascii="Garamond" w:hAnsi="Garamond" w:cs="AdvTTb5929f4c"/>
                                <w:vertAlign w:val="superscript"/>
                              </w:rPr>
                              <w:t>2</w:t>
                            </w:r>
                            <w:r w:rsidRPr="00DE18C1">
                              <w:rPr>
                                <w:rFonts w:ascii="Garamond" w:hAnsi="Garamond" w:cs="AdvTTb5929f4c"/>
                              </w:rPr>
                              <w:t xml:space="preserve"> </w:t>
                            </w:r>
                            <w:r>
                              <w:rPr>
                                <w:rFonts w:ascii="Garamond" w:hAnsi="Garamond" w:cs="AdvTTb5929f4c"/>
                              </w:rPr>
                              <w:t>CNRS</w:t>
                            </w:r>
                            <w:r w:rsidRPr="00DE18C1">
                              <w:rPr>
                                <w:rFonts w:ascii="Garamond" w:hAnsi="Garamond" w:cs="AdvTTb5929f4c"/>
                              </w:rPr>
                              <w:t xml:space="preserve"> UMR8104, Inserm, U1016, Paris, France. </w:t>
                            </w:r>
                          </w:p>
                          <w:p w14:paraId="54B54AF9" w14:textId="77777777" w:rsidR="00D46FBA" w:rsidRPr="009F151D" w:rsidRDefault="00D46FBA" w:rsidP="00D46FBA">
                            <w:pPr>
                              <w:autoSpaceDE w:val="0"/>
                              <w:autoSpaceDN w:val="0"/>
                              <w:adjustRightInd w:val="0"/>
                              <w:ind w:right="-6"/>
                              <w:rPr>
                                <w:rFonts w:ascii="Garamond" w:hAnsi="Garamond" w:cs="AdvTTb5929f4c"/>
                              </w:rPr>
                            </w:pPr>
                            <w:r w:rsidRPr="009F151D">
                              <w:rPr>
                                <w:rFonts w:ascii="Garamond" w:hAnsi="Garamond" w:cs="AdvTTb5929f4c"/>
                                <w:vertAlign w:val="superscript"/>
                              </w:rPr>
                              <w:t>3</w:t>
                            </w:r>
                            <w:r w:rsidRPr="009F151D">
                              <w:rPr>
                                <w:rFonts w:ascii="Garamond" w:hAnsi="Garamond" w:cs="AdvTTb5929f4c"/>
                              </w:rPr>
                              <w:t xml:space="preserve"> Université Paris Descartes, Sorbonne Paris Cité, Paris, France.</w:t>
                            </w:r>
                          </w:p>
                          <w:p w14:paraId="4A0A040E" w14:textId="77777777" w:rsidR="00D46FBA" w:rsidRPr="009F151D" w:rsidRDefault="00D46FBA" w:rsidP="00D46FBA">
                            <w:pPr>
                              <w:spacing w:line="360" w:lineRule="auto"/>
                              <w:ind w:right="-6"/>
                              <w:jc w:val="center"/>
                              <w:rPr>
                                <w:rFonts w:ascii="Garamond" w:hAnsi="Garamond"/>
                                <w:b/>
                              </w:rPr>
                            </w:pPr>
                          </w:p>
                          <w:p w14:paraId="293ED093" w14:textId="4FDDFD7D" w:rsidR="00D46FBA" w:rsidRDefault="00D46FBA" w:rsidP="00D46FBA">
                            <w:pPr>
                              <w:spacing w:line="360" w:lineRule="auto"/>
                              <w:ind w:right="-6"/>
                              <w:jc w:val="both"/>
                              <w:rPr>
                                <w:rFonts w:ascii="Garamond" w:hAnsi="Garamond"/>
                                <w:lang w:val="en-US"/>
                              </w:rPr>
                            </w:pPr>
                            <w:r w:rsidRPr="005025BA">
                              <w:rPr>
                                <w:rFonts w:ascii="Garamond" w:hAnsi="Garamond"/>
                                <w:lang w:val="en-US"/>
                              </w:rPr>
                              <w:t xml:space="preserve">While current antiretroviral treatment regimens have been extremely effective, issues of associated toxicity, cost and resistance remain. There is a need for novel approaches and antiretroviral compounds to complement the existing therapy and for developing new strategies for inhibition of HIV infection. Transcription from the HIV promoter in the viral long terminal repeat is regulated by the combined activity of the host transcription machinery and the viral transactivator Tat protein. Recently, the Tat inhibitor didehydro-cortistatin (dCA) has been reported to prevent viral reactivation from latent reservoirs, resulting in a permanent state of latency </w:t>
                            </w:r>
                            <w:r>
                              <w:rPr>
                                <w:rFonts w:ascii="Garamond" w:hAnsi="Garamond" w:cs="Arial"/>
                                <w:bCs/>
                                <w:lang w:val="en-US"/>
                              </w:rPr>
                              <w:t>or block-and-</w:t>
                            </w:r>
                            <w:r w:rsidRPr="005025BA">
                              <w:rPr>
                                <w:rFonts w:ascii="Garamond" w:hAnsi="Garamond" w:cs="Arial"/>
                                <w:bCs/>
                                <w:lang w:val="en-US"/>
                              </w:rPr>
                              <w:t xml:space="preserve">lock </w:t>
                            </w:r>
                            <w:r w:rsidRPr="005025BA">
                              <w:rPr>
                                <w:rFonts w:ascii="Garamond" w:hAnsi="Garamond"/>
                                <w:lang w:val="en-US"/>
                              </w:rPr>
                              <w:t xml:space="preserve">that could eventually culminate in a functional cure of HIV </w:t>
                            </w:r>
                            <w:r>
                              <w:rPr>
                                <w:rFonts w:ascii="Garamond" w:hAnsi="Garamond"/>
                                <w:lang w:val="en-US"/>
                              </w:rPr>
                              <w:fldChar w:fldCharType="begin"/>
                            </w:r>
                            <w:r>
                              <w:rPr>
                                <w:rFonts w:ascii="Garamond" w:hAnsi="Garamond"/>
                                <w:lang w:val="en-US"/>
                              </w:rPr>
                              <w:instrText xml:space="preserve"> ADDIN ZOTERO_ITEM CSL_CITATION {"citationID":"a1v5il5on50","properties":{"formattedCitation":"(Mousseau et al., 2015)","plainCitation":"(Mousseau et al., 2015)"},"citationItems":[{"id":15,"uris":["http://zotero.org/users/local/Y60EtQrO/items/P9JRNJPD"],"uri":["http://zotero.org/users/local/Y60EtQrO/items/P9JRNJPD"],"itemData":{"id":15,"type":"article-journal","title":"The Tat Inhibitor Didehydro-Cortistatin A Prevents HIV-1 Reactivation from Latency","container-title":"mBio","volume":"6","issue":"4","abstract":"Antiretroviral therapy (ART) inhibits HIV-1 replication, but the virus persists in latently infected resting memory CD4+ T cells susceptible to viral reactivation. The virus-encoded early gene product Tat activates transcription of the viral genome and promotes exponential viral production. Here we show that the Tat inhibitor didehydro-cortistatin A (dCA), unlike other antiretrovirals, reduces residual levels of viral transcription in several models of HIV latency, breaks the Tat-mediated transcriptional feedback loop, and establishes a nearly permanent state of latency, which greatly diminishes the capacity for virus reactivation. Importantly, treatment with dCA induces inactivation of viral transcription even after its removal, suggesting that the HIV promoter is epigenetically repressed. Critically, dCA inhibits viral reactivation upon CD3/CD28 or prostratin stimulation of latently infected CD4+ T cells from HIV-infected subjects receiving suppressive ART. Our results suggest that inclusion of a Tat inhibitor in current ART regimens may contribute to a functional HIV-1 cure by reducing low-level viremia and preventing viral reactivation from latent reservoirs.IMPORTANCE Antiretroviral therapy (ART) reduces HIV-1 replication to very low levels, but the virus persists in latently infected memory CD4+ T cells, representing a long-lasting source of resurgent virus upon ART interruption. Based on the mode of action of didehydro-cortistatin A (dCA), a Tat-dependent transcription inhibitor, our work highlights an alternative approach to current HIV-1 eradication strategies to decrease the latent reservoir. In our model, dCA blocks the Tat feedback loop initiated after low-level basal reactivation, blocking transcriptional elongation and hence viral production from latently infected cells. Therefore, dCA combined with ART would be aimed at delaying or halting ongoing viral replication, reactivation, and replenishment of the latent viral reservoir. Thus, the latent pool of cells in an infected individual would be stabilized, and death of the long-lived infected memory T cells would result in a continuous decay of this pool over time, possibly culminating in the long-awaited sterilizing cure.","URL":"http://mbio.asm.org/content/6/4/e00465-15.abstract","DOI":"10.1128/mBio.00465-15","journalAbbreviation":"mBio","author":[{"family":"Mousseau","given":"Guillaume"},{"family":"Kessing","given":"Cari F."},{"family":"Fromentin","given":"Rémi"},{"family":"Trautmann","given":"Lydie"},{"family":"Chomont","given":"Nicolas"},{"family":"Valente","given":"Susana T."}],"issued":{"date-parts":[["2015",9,1]]}}}],"schema":"https://github.com/citation-style-language/schema/raw/master/csl-citation.json"} </w:instrText>
                            </w:r>
                            <w:r>
                              <w:rPr>
                                <w:rFonts w:ascii="Garamond" w:hAnsi="Garamond"/>
                                <w:lang w:val="en-US"/>
                              </w:rPr>
                              <w:fldChar w:fldCharType="separate"/>
                            </w:r>
                            <w:r>
                              <w:rPr>
                                <w:rFonts w:ascii="Garamond" w:hAnsi="Garamond"/>
                                <w:noProof/>
                                <w:lang w:val="en-US"/>
                              </w:rPr>
                              <w:t>(Mousseau et al., 2015)</w:t>
                            </w:r>
                            <w:r>
                              <w:rPr>
                                <w:rFonts w:ascii="Garamond" w:hAnsi="Garamond"/>
                                <w:lang w:val="en-US"/>
                              </w:rPr>
                              <w:fldChar w:fldCharType="end"/>
                            </w:r>
                            <w:r w:rsidRPr="005025BA">
                              <w:rPr>
                                <w:rFonts w:ascii="Garamond" w:hAnsi="Garamond"/>
                                <w:lang w:val="en-US"/>
                              </w:rPr>
                              <w:t>. When introduced to humanized m</w:t>
                            </w:r>
                            <w:r>
                              <w:rPr>
                                <w:rFonts w:ascii="Garamond" w:hAnsi="Garamond"/>
                                <w:lang w:val="en-US"/>
                              </w:rPr>
                              <w:t xml:space="preserve">ice </w:t>
                            </w:r>
                            <w:r w:rsidRPr="005025BA">
                              <w:rPr>
                                <w:rFonts w:ascii="Garamond" w:hAnsi="Garamond"/>
                                <w:lang w:val="en-US"/>
                              </w:rPr>
                              <w:t xml:space="preserve">models of HIV-1 infection, dCA stops the virus’s production, activation, and the replenishment of other infected cells that would contribute to the spread and growth of HIV </w:t>
                            </w:r>
                            <w:r>
                              <w:rPr>
                                <w:rFonts w:ascii="Garamond" w:hAnsi="Garamond"/>
                                <w:lang w:val="en-US"/>
                              </w:rPr>
                              <w:fldChar w:fldCharType="begin"/>
                            </w:r>
                            <w:r>
                              <w:rPr>
                                <w:rFonts w:ascii="Garamond" w:hAnsi="Garamond"/>
                                <w:lang w:val="en-US"/>
                              </w:rPr>
                              <w:instrText xml:space="preserve"> ADDIN ZOTERO_ITEM CSL_CITATION {"citationID":"a2gjna2jqlm","properties":{"formattedCitation":"(Kessing et al., 2017)","plainCitation":"(Kessing et al., 2017)"},"citationItems":[{"id":17,"uris":["http://zotero.org/users/local/Y60EtQrO/items/CMQQIEKV"],"uri":["http://zotero.org/users/local/Y60EtQrO/items/CMQQIEKV"],"itemData":{"id":17,"type":"article-journal","title":"In Vivo Suppression of HIV Rebound by Didehydro-Cortistatin A, a “Block-and-Lock” Strategy for HIV-1 Treatment","container-title":"Cell Reports","page":"600-611","volume":"21","issue":"3","DOI":"10.1016/j.celrep.2017.09.080","ISSN":"2211-1247","author":[{"family":"Kessing","given":"Cari F."},{"family":"Nixon","given":"Christopher C."},{"family":"Li","given":"Chuan"},{"family":"Tsai","given":"Perry"},{"family":"Takata","given":"Hiroshi"},{"family":"Mousseau","given":"Guillaume"},{"family":"Ho","given":"Phong T."},{"family":"Honeycutt","given":"Jenna B."},{"family":"Fallahi","given":"Mohammad"},{"family":"Trautmann","given":"Lydie"},{"family":"Garcia","given":"J. Victor"},{"family":"Valente","given":"Susana T."}],"issued":{"date-parts":[["2017",10,17]]}}}],"schema":"https://github.com/citation-style-language/schema/raw/master/csl-citation.json"} </w:instrText>
                            </w:r>
                            <w:r>
                              <w:rPr>
                                <w:rFonts w:ascii="Garamond" w:hAnsi="Garamond"/>
                                <w:lang w:val="en-US"/>
                              </w:rPr>
                              <w:fldChar w:fldCharType="separate"/>
                            </w:r>
                            <w:r>
                              <w:rPr>
                                <w:rFonts w:ascii="Garamond" w:hAnsi="Garamond"/>
                                <w:noProof/>
                                <w:lang w:val="en-US"/>
                              </w:rPr>
                              <w:t>(Kessing et al., 2017)</w:t>
                            </w:r>
                            <w:r>
                              <w:rPr>
                                <w:rFonts w:ascii="Garamond" w:hAnsi="Garamond"/>
                                <w:lang w:val="en-US"/>
                              </w:rPr>
                              <w:fldChar w:fldCharType="end"/>
                            </w:r>
                            <w:r w:rsidRPr="005025BA">
                              <w:rPr>
                                <w:rFonts w:ascii="Garamond" w:hAnsi="Garamond"/>
                                <w:lang w:val="en-US"/>
                              </w:rPr>
                              <w:t>, this work demonstrated the potential of block-and-lock cure strategies. We have discovered that spironolactone (SP) - an antagonist of aldosterone - specifically inhibits HIV infection of permissive T cells and reactivation of latently infected T cells</w:t>
                            </w:r>
                            <w:r>
                              <w:rPr>
                                <w:rFonts w:ascii="Garamond" w:hAnsi="Garamond"/>
                                <w:lang w:val="en-US"/>
                              </w:rPr>
                              <w:t xml:space="preserve"> </w:t>
                            </w:r>
                            <w:r>
                              <w:rPr>
                                <w:rFonts w:ascii="Garamond" w:hAnsi="Garamond"/>
                                <w:lang w:val="en-US"/>
                              </w:rPr>
                              <w:fldChar w:fldCharType="begin"/>
                            </w:r>
                            <w:r>
                              <w:rPr>
                                <w:rFonts w:ascii="Garamond" w:hAnsi="Garamond"/>
                                <w:lang w:val="en-US"/>
                              </w:rPr>
                              <w:instrText xml:space="preserve"> ADDIN ZOTERO_ITEM CSL_CITATION {"citationID":"a13h3u0j2tr","properties":{"formattedCitation":"(Lacombe et al., 2016)","plainCitation":"(Lacombe et al., 2016)"},"citationItems":[{"id":16,"uris":["http://zotero.org/users/local/Y60EtQrO/items/TGDITQFK"],"uri":["http://zotero.org/users/local/Y60EtQrO/items/TGDITQFK"],"itemData":{"id":16,"type":"article-journal","title":"Specific Inhibition of HIV Infection by the Action of Spironolactone in T Cells","container-title":"Journal of Virology","page":"10972-10980","volume":"90","issue":"23","archive":"PMC","archive_location":"PMC5110165","abstract":"Tat protein, the HIV transactivator, regulates transcription of the HIV genome by the host transcription machinery. Efficient inhibitors of HIV transcription that target Tat or the cellular cofactor NF-κB are well known. However, inhibition of HIV Tat-dependent transcription by targeting the general transcription and DNA repair factor II human (TFIIH) has not been reported. Here, we show that spironolactone (SP), an aldosterone antagonist approved for clinical use, inhibits HIV-1 and HIV-2 infection of permissive T cells by blocking viral Tat-dependent transcription from the long terminal repeat (LTR). We found that treatment of Jurkat and primary CD4(+) T cells with SP induces degradation of the XPB cellular helicase, a component of the TFIIH complex, without affecting cellular mRNA levels, T cell viability, or T cell proliferation. We further demonstrate that the effect of SP on HIV infection is independent of its aldosterone antagonist function, since the structural analogue, eplerenone, does not induce XPB degradation and does not inhibit HIV infection. Rescue experiments showed that the SP-induced block of HIV infection relies, at least partially, on XPB degradation. In addition, we demonstrate that SP specifically inhibits Tat-dependent transcription, since basal transcription from the LTR is not affected. Our results demonstrate that SP is a specific inhibitor of HIV Tat-dependent transcription in T cells, which additionally suggests that XPB is a cofactor required for HIV infection. Targeting a cellular cofactor of HIV transcription constitutes an alternative strategy to inhibit HIV infection, together with the existing antiretroviral therapy.\nIMPORTANCE Transcription from the HIV promoter is regulated by the combined activities of the host transcription machinery and the viral transactivator Tat protein. Here, we report that the drug spironolactone—an antagonist of aldosterone—blocks viral Tat-dependent transcription, thereby inhibiting both HIV-1 and HIV-2 infection of permissive T cells. This inhibition relies on the degradation of the cellular helicase XPB, a component of the TFIIH transcription factor complex. Consequently, XPB appears to be a novel HIV cofactor. Our discovery of the HIV-inhibitory activity of spironolactone opens the way for the development of novel anti-HIV strategies targeting a cellular cofactor without the limitations of antiretroviral therapy of drug resistance and high cost.","DOI":"10.1128/JVI.01722-16","ISSN":"0022-538X","author":[{"family":"Lacombe","given":"Benoît"},{"family":"Morel","given":"Marina"},{"family":"Margottin-Goguet","given":"Florence"},{"family":"Ramirez","given":"Bertha Cecilia"}],"editor":[{"family":"Kirchhoff","given":"F"}],"issued":{"date-parts":[["2016",12,1]]}}}],"schema":"https://github.com/citation-style-language/schema/raw/master/csl-citation.json"} </w:instrText>
                            </w:r>
                            <w:r>
                              <w:rPr>
                                <w:rFonts w:ascii="Garamond" w:hAnsi="Garamond"/>
                                <w:lang w:val="en-US"/>
                              </w:rPr>
                              <w:fldChar w:fldCharType="separate"/>
                            </w:r>
                            <w:r>
                              <w:rPr>
                                <w:rFonts w:ascii="Garamond" w:hAnsi="Garamond"/>
                                <w:noProof/>
                                <w:lang w:val="en-US"/>
                              </w:rPr>
                              <w:t>(Lacombe et al., 2016)</w:t>
                            </w:r>
                            <w:r>
                              <w:rPr>
                                <w:rFonts w:ascii="Garamond" w:hAnsi="Garamond"/>
                                <w:lang w:val="en-US"/>
                              </w:rPr>
                              <w:fldChar w:fldCharType="end"/>
                            </w:r>
                            <w:r w:rsidRPr="005025BA">
                              <w:rPr>
                                <w:rFonts w:ascii="Garamond" w:hAnsi="Garamond"/>
                                <w:lang w:val="en-US"/>
                              </w:rPr>
                              <w:t xml:space="preserve">. SP-induced inhibition is mediated by blocking the Tat-dependent transcription of HIV-1 and HIV-2 and the reactivation of transcription from latent HIV-1 promoters in latently infected T cells. SP offers the advantages of </w:t>
                            </w:r>
                            <w:r>
                              <w:rPr>
                                <w:rFonts w:ascii="Garamond" w:hAnsi="Garamond"/>
                                <w:lang w:val="en-US"/>
                              </w:rPr>
                              <w:t>being cheap and acting</w:t>
                            </w:r>
                            <w:r w:rsidRPr="005025BA">
                              <w:rPr>
                                <w:rFonts w:ascii="Garamond" w:hAnsi="Garamond"/>
                                <w:lang w:val="en-US"/>
                              </w:rPr>
                              <w:t xml:space="preserve"> both in permissive cells as well as in reservoirs where the virus persists despite antiretroviral therapy. Finally, only HIV transcriptional inhibitors like dCA and SP that prevent infected cells from making viruses, stop the side effects of low-level virus production.</w:t>
                            </w:r>
                          </w:p>
                          <w:p w14:paraId="12529242" w14:textId="77777777" w:rsidR="0029646C" w:rsidRDefault="0029646C" w:rsidP="00D46FBA">
                            <w:pPr>
                              <w:spacing w:line="360" w:lineRule="auto"/>
                              <w:ind w:right="-6"/>
                              <w:jc w:val="both"/>
                              <w:rPr>
                                <w:rFonts w:ascii="Garamond" w:hAnsi="Garamond"/>
                                <w:lang w:val="en-US"/>
                              </w:rPr>
                            </w:pPr>
                          </w:p>
                          <w:p w14:paraId="69D462DA" w14:textId="77777777" w:rsidR="00D46FBA" w:rsidRPr="0029646C" w:rsidRDefault="00D46FBA" w:rsidP="00D46FBA">
                            <w:pPr>
                              <w:spacing w:line="360" w:lineRule="auto"/>
                              <w:ind w:right="-6"/>
                              <w:jc w:val="both"/>
                              <w:rPr>
                                <w:rFonts w:ascii="Garamond" w:hAnsi="Garamond"/>
                                <w:b/>
                                <w:lang w:val="en-US"/>
                              </w:rPr>
                            </w:pPr>
                            <w:r w:rsidRPr="0029646C">
                              <w:rPr>
                                <w:rFonts w:ascii="Garamond" w:hAnsi="Garamond"/>
                                <w:b/>
                                <w:lang w:val="en-US"/>
                              </w:rPr>
                              <w:t>References</w:t>
                            </w:r>
                          </w:p>
                          <w:p w14:paraId="43AED18C" w14:textId="1371EE66" w:rsidR="00D46FBA" w:rsidRDefault="00D46FBA" w:rsidP="00D46FBA">
                            <w:pPr>
                              <w:pStyle w:val="Bibliographie1"/>
                              <w:ind w:left="284" w:right="-6" w:hanging="284"/>
                            </w:pPr>
                            <w:r>
                              <w:t xml:space="preserve">1. </w:t>
                            </w:r>
                            <w:r w:rsidRPr="009F151D">
                              <w:t xml:space="preserve">Mousseau, G., Kessing, C.F., </w:t>
                            </w:r>
                            <w:proofErr w:type="spellStart"/>
                            <w:r w:rsidRPr="009F151D">
                              <w:t>Fromentin</w:t>
                            </w:r>
                            <w:proofErr w:type="spellEnd"/>
                            <w:r w:rsidRPr="009F151D">
                              <w:t xml:space="preserve">, R., </w:t>
                            </w:r>
                            <w:proofErr w:type="spellStart"/>
                            <w:r w:rsidRPr="009F151D">
                              <w:t>Trautmann</w:t>
                            </w:r>
                            <w:proofErr w:type="spellEnd"/>
                            <w:r w:rsidRPr="009F151D">
                              <w:t xml:space="preserve">, L., </w:t>
                            </w:r>
                            <w:proofErr w:type="spellStart"/>
                            <w:r w:rsidRPr="009F151D">
                              <w:t>Chomont</w:t>
                            </w:r>
                            <w:proofErr w:type="spellEnd"/>
                            <w:r w:rsidRPr="009F151D">
                              <w:t xml:space="preserve">, N., and Valente, S.T. (2015). The Tat Inhibitor Didehydro-Cortistatin A Prevents HIV-1 Reactivation from Latency. </w:t>
                            </w:r>
                            <w:proofErr w:type="spellStart"/>
                            <w:r w:rsidRPr="009F151D">
                              <w:t>MBio</w:t>
                            </w:r>
                            <w:proofErr w:type="spellEnd"/>
                            <w:r w:rsidRPr="009F151D">
                              <w:t xml:space="preserve"> </w:t>
                            </w:r>
                            <w:r w:rsidRPr="00D46FBA">
                              <w:t>6</w:t>
                            </w:r>
                            <w:r w:rsidRPr="009F151D">
                              <w:t>.</w:t>
                            </w:r>
                          </w:p>
                          <w:p w14:paraId="24A9BAE2" w14:textId="14D381D2" w:rsidR="00D46FBA" w:rsidRPr="009F151D" w:rsidRDefault="00D46FBA" w:rsidP="001D22FA">
                            <w:pPr>
                              <w:pStyle w:val="Bibliographie1"/>
                              <w:ind w:left="284" w:right="-6" w:hanging="284"/>
                            </w:pPr>
                            <w:r>
                              <w:t xml:space="preserve">2. </w:t>
                            </w:r>
                            <w:r>
                              <w:fldChar w:fldCharType="begin"/>
                            </w:r>
                            <w:r>
                              <w:instrText xml:space="preserve"> ADDIN ZOTERO_BIBL {"custom":[]} CSL_BIBLIOGRAPHY </w:instrText>
                            </w:r>
                            <w:r>
                              <w:fldChar w:fldCharType="separate"/>
                            </w:r>
                            <w:proofErr w:type="spellStart"/>
                            <w:r w:rsidRPr="009F151D">
                              <w:t>Kessing</w:t>
                            </w:r>
                            <w:proofErr w:type="spellEnd"/>
                            <w:r w:rsidRPr="009F151D">
                              <w:t xml:space="preserve">, C.F., Nixon, C.C., Li, C., Tsai, P., Takata, H., Mousseau, G., Ho, P.T., Honeycutt, J.B., Fallahi, M., Trautmann, L., et al. (2017). In Vivo Suppression of HIV Rebound by Didehydro-Cortistatin A, a “Block-and-Lock” Strategy for HIV-1 Treatment. Cell Rep. </w:t>
                            </w:r>
                            <w:r w:rsidRPr="00D46FBA">
                              <w:t>21</w:t>
                            </w:r>
                            <w:r w:rsidRPr="009F151D">
                              <w:t>, 600–611.</w:t>
                            </w:r>
                          </w:p>
                          <w:p w14:paraId="1E732D78" w14:textId="5A39B8C8" w:rsidR="00D46FBA" w:rsidRPr="009F151D" w:rsidRDefault="0021553A" w:rsidP="0021553A">
                            <w:pPr>
                              <w:pStyle w:val="Bibliographie1"/>
                              <w:ind w:left="284" w:right="-6" w:hanging="284"/>
                            </w:pPr>
                            <w:r>
                              <w:t xml:space="preserve">3. </w:t>
                            </w:r>
                            <w:r w:rsidR="00D46FBA" w:rsidRPr="009F151D">
                              <w:t xml:space="preserve">Lacombe, B., Morel, M., Margottin-Goguet, F., and Ramirez, B.C. (2016). Specific Inhibition of HIV Infection by the Action of Spironolactone in T Cells. J. Virol. </w:t>
                            </w:r>
                            <w:r w:rsidR="00D46FBA" w:rsidRPr="00D46FBA">
                              <w:t>90</w:t>
                            </w:r>
                            <w:r w:rsidR="00D46FBA" w:rsidRPr="009F151D">
                              <w:t>, 10972–10980.</w:t>
                            </w:r>
                          </w:p>
                          <w:p w14:paraId="43A4255E" w14:textId="77777777" w:rsidR="00D46FBA" w:rsidRPr="00801F28" w:rsidRDefault="00D46FBA" w:rsidP="00801F28">
                            <w:pPr>
                              <w:spacing w:line="360" w:lineRule="auto"/>
                              <w:ind w:right="-6"/>
                              <w:jc w:val="both"/>
                              <w:rPr>
                                <w:rFonts w:ascii="Garamond" w:hAnsi="Garamond"/>
                              </w:rPr>
                            </w:pPr>
                            <w:r>
                              <w:rPr>
                                <w:rFonts w:ascii="Garamond" w:hAnsi="Garamond"/>
                                <w:lang w:val="en-US"/>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0,0l0,21600,21600,21600,21600,0xe">
                <v:stroke joinstyle="miter"/>
                <v:path gradientshapeok="t" o:connecttype="rect"/>
              </v:shapetype>
              <v:shape id="Zone de texte 1" o:spid="_x0000_s1026" type="#_x0000_t202" style="position:absolute;left:0;text-align:left;margin-left:0;margin-top:0;width:453.3pt;height:805.9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7pKlYUCAAAQBQAADgAAAGRycy9lMm9Eb2MueG1srFRba9swFH4f7D8Ivae2szhtTJ3ipmQMSlto&#10;R2FviiwnBuuCpNbuxv77PslJb9vDGHuRz01H53znOz49G2RHHoV1rVYlzY5SSoTium7VtqRf79aT&#10;E0qcZ6pmnVaipE/C0bPlxw+nvSnEVO90VwtLkES5ojcl3XlviiRxfCckc0faCAVno61kHqrdJrVl&#10;PbLLLpmm6Tzpta2N1Vw4B+vF6KTLmL9pBPfXTeOEJ11JUZuPp43nJpzJ8pQVW8vMruX7Mtg/VCFZ&#10;q/Doc6oL5hl5sO1vqWTLrXa68Udcy0Q3TctF7AHdZOm7bm53zIjYC8Bx5hkm9//S8qvHG0vaGrOj&#10;RDGJEX3DoEgtiBeDFyQLEPXGFYi8NYj1w7keQvje7mAMnQ+NleGLngj8APvpGWBkIhzG/DifLzK4&#10;OHxZOv2U5/M8JEpe7hvr/GehJQlCSS1GGJFlj5fOj6GHkPCc0uu262BnRafeGJBztIjIg/E2K1AL&#10;xBAZqooz+rHKj6fVcb6YzKs8m8yy9GRSVel0crGu0iqdrVeL2flPVCFZNit6sMWAa3e4DyjWHdvu&#10;JxPcfzcayfgbImdZEik09ofEEZJDqUnAf8Q5SH7YDAgM4kbXT5iJ1SOxneHrFrBdMudvmAWTgTW2&#10;01/jaDrdl1TvJUp22n7/kz3Eowt4KQm9llSBEZR0XxSIt8hms7BIUZkBNyj2tWfz2qMe5Epj9UAu&#10;1BbFEO+7g9hYLe+xwlV4Ey6mOF4uqT+IKz9uK34BXFRVDMLqGOYv1a3hIXWYZaDE3XDPrNnzJrD3&#10;Sh82iBXv6DPGhpvOVA8eJIrcesEUAwgK1i6OYv+LCHv9Wo9RLz+y5S8AAAD//wMAUEsDBBQABgAI&#10;AAAAIQAW26Y42gAAAAYBAAAPAAAAZHJzL2Rvd25yZXYueG1sTI/BTsMwEETvSPyDtUjcqJ0KoibE&#10;qVCBM1D4ADde4pB4HcVum/brWbjAZaTVjGbeVuvZD+KAU+wCacgWCgRSE2xHrYaP9+ebFYiYDFkz&#10;BEINJ4ywri8vKlPacKQ3PGxTK7iEYmk0uJTGUsrYOPQmLsKIxN5nmLxJfE6ttJM5crkf5FKpXHrT&#10;ES84M+LGYdNv917DSvmXvi+Wr9HfnrM7t3kMT+OX1tdX88M9iIRz+gvDDz6jQ81Mu7AnG8WggR9J&#10;v8peofIcxI5DeZYVIOtK/sevvwEAAP//AwBQSwECLQAUAAYACAAAACEA5JnDwPsAAADhAQAAEwAA&#10;AAAAAAAAAAAAAAAAAAAAW0NvbnRlbnRfVHlwZXNdLnhtbFBLAQItABQABgAIAAAAIQAjsmrh1wAA&#10;AJQBAAALAAAAAAAAAAAAAAAAACwBAABfcmVscy8ucmVsc1BLAQItABQABgAIAAAAIQBLukqVhQIA&#10;ABAFAAAOAAAAAAAAAAAAAAAAACwCAABkcnMvZTJvRG9jLnhtbFBLAQItABQABgAIAAAAIQAW26Y4&#10;2gAAAAYBAAAPAAAAAAAAAAAAAAAAAN0EAABkcnMvZG93bnJldi54bWxQSwUGAAAAAAQABADzAAAA&#10;5AUAAAAA&#10;" filled="f" stroked="f">
                <v:textbox style="mso-fit-shape-to-text:t">
                  <w:txbxContent>
                    <w:p w14:paraId="08B3FB0F" w14:textId="77777777" w:rsidR="00D46FBA" w:rsidRPr="00DE18C1" w:rsidRDefault="00D46FBA" w:rsidP="00D46FBA">
                      <w:pPr>
                        <w:ind w:right="-6"/>
                        <w:jc w:val="center"/>
                        <w:rPr>
                          <w:rFonts w:ascii="Garamond" w:hAnsi="Garamond"/>
                          <w:b/>
                          <w:lang w:val="en-US"/>
                        </w:rPr>
                      </w:pPr>
                    </w:p>
                    <w:p w14:paraId="23DE3F1D" w14:textId="04C1AC65" w:rsidR="00D46FBA" w:rsidRDefault="00D46FBA" w:rsidP="00D46FBA">
                      <w:pPr>
                        <w:spacing w:line="360" w:lineRule="auto"/>
                        <w:ind w:right="-6"/>
                        <w:jc w:val="center"/>
                        <w:rPr>
                          <w:rFonts w:ascii="Garamond" w:hAnsi="Garamond"/>
                          <w:b/>
                          <w:sz w:val="28"/>
                          <w:szCs w:val="28"/>
                          <w:lang w:val="en-US"/>
                        </w:rPr>
                      </w:pPr>
                      <w:r w:rsidRPr="004A082B">
                        <w:rPr>
                          <w:rFonts w:ascii="Garamond" w:hAnsi="Garamond"/>
                          <w:b/>
                          <w:sz w:val="28"/>
                          <w:szCs w:val="28"/>
                          <w:lang w:val="en-US"/>
                        </w:rPr>
                        <w:t xml:space="preserve">Functional cure for HIV </w:t>
                      </w:r>
                    </w:p>
                    <w:p w14:paraId="14FF5DEF" w14:textId="77777777" w:rsidR="0029646C" w:rsidRPr="0029646C" w:rsidRDefault="0029646C" w:rsidP="00D46FBA">
                      <w:pPr>
                        <w:spacing w:line="360" w:lineRule="auto"/>
                        <w:ind w:right="-6"/>
                        <w:jc w:val="center"/>
                        <w:rPr>
                          <w:rFonts w:ascii="Garamond" w:hAnsi="Garamond"/>
                          <w:b/>
                          <w:sz w:val="28"/>
                          <w:szCs w:val="28"/>
                          <w:lang w:val="en-US"/>
                        </w:rPr>
                      </w:pPr>
                    </w:p>
                    <w:p w14:paraId="2028087D" w14:textId="77777777" w:rsidR="00D46FBA" w:rsidRPr="0029646C" w:rsidRDefault="00D46FBA" w:rsidP="0029646C">
                      <w:pPr>
                        <w:ind w:right="-6"/>
                        <w:jc w:val="both"/>
                        <w:rPr>
                          <w:rFonts w:ascii="Garamond" w:hAnsi="Garamond"/>
                          <w:b/>
                        </w:rPr>
                      </w:pPr>
                      <w:r w:rsidRPr="0029646C">
                        <w:rPr>
                          <w:rFonts w:ascii="Garamond" w:hAnsi="Garamond"/>
                          <w:b/>
                        </w:rPr>
                        <w:t xml:space="preserve">Benoît Lacombe </w:t>
                      </w:r>
                      <w:proofErr w:type="gramStart"/>
                      <w:r w:rsidRPr="0029646C">
                        <w:rPr>
                          <w:rFonts w:ascii="Garamond" w:hAnsi="Garamond"/>
                          <w:b/>
                          <w:vertAlign w:val="superscript"/>
                        </w:rPr>
                        <w:t>1 ,</w:t>
                      </w:r>
                      <w:proofErr w:type="gramEnd"/>
                      <w:r w:rsidRPr="0029646C">
                        <w:rPr>
                          <w:rFonts w:ascii="Garamond" w:hAnsi="Garamond"/>
                          <w:b/>
                          <w:vertAlign w:val="superscript"/>
                        </w:rPr>
                        <w:t>2,3</w:t>
                      </w:r>
                      <w:r w:rsidRPr="0029646C">
                        <w:rPr>
                          <w:rFonts w:ascii="Garamond" w:hAnsi="Garamond"/>
                          <w:b/>
                        </w:rPr>
                        <w:t xml:space="preserve">, Marina Morel </w:t>
                      </w:r>
                      <w:r w:rsidRPr="0029646C">
                        <w:rPr>
                          <w:rFonts w:ascii="Garamond" w:hAnsi="Garamond"/>
                          <w:b/>
                          <w:vertAlign w:val="superscript"/>
                        </w:rPr>
                        <w:t>1,2,3</w:t>
                      </w:r>
                      <w:r w:rsidRPr="0029646C">
                        <w:rPr>
                          <w:rFonts w:ascii="Garamond" w:hAnsi="Garamond"/>
                          <w:b/>
                        </w:rPr>
                        <w:t xml:space="preserve">, Florence Margottin-Goguet </w:t>
                      </w:r>
                      <w:r w:rsidRPr="0029646C">
                        <w:rPr>
                          <w:rFonts w:ascii="Garamond" w:hAnsi="Garamond"/>
                          <w:b/>
                          <w:vertAlign w:val="superscript"/>
                        </w:rPr>
                        <w:t>1,2,3</w:t>
                      </w:r>
                      <w:r w:rsidRPr="0029646C">
                        <w:rPr>
                          <w:rFonts w:ascii="Garamond" w:hAnsi="Garamond"/>
                          <w:b/>
                        </w:rPr>
                        <w:t>,</w:t>
                      </w:r>
                    </w:p>
                    <w:p w14:paraId="3ADA6BCB" w14:textId="77777777" w:rsidR="00D46FBA" w:rsidRPr="0029646C" w:rsidRDefault="00D46FBA" w:rsidP="0029646C">
                      <w:pPr>
                        <w:ind w:right="-6"/>
                        <w:jc w:val="both"/>
                        <w:rPr>
                          <w:rFonts w:ascii="Garamond" w:hAnsi="Garamond"/>
                          <w:b/>
                        </w:rPr>
                      </w:pPr>
                      <w:r w:rsidRPr="0029646C">
                        <w:rPr>
                          <w:rFonts w:ascii="Garamond" w:hAnsi="Garamond"/>
                          <w:b/>
                        </w:rPr>
                        <w:t>Bertha Cecilia Ramirez</w:t>
                      </w:r>
                      <w:r w:rsidRPr="0029646C">
                        <w:rPr>
                          <w:rFonts w:ascii="Garamond" w:hAnsi="Garamond"/>
                          <w:b/>
                          <w:vertAlign w:val="superscript"/>
                        </w:rPr>
                        <w:t>1</w:t>
                      </w:r>
                      <w:proofErr w:type="gramStart"/>
                      <w:r w:rsidRPr="0029646C">
                        <w:rPr>
                          <w:rFonts w:ascii="Garamond" w:hAnsi="Garamond"/>
                          <w:b/>
                          <w:vertAlign w:val="superscript"/>
                        </w:rPr>
                        <w:t>,2,3</w:t>
                      </w:r>
                      <w:proofErr w:type="gramEnd"/>
                    </w:p>
                    <w:p w14:paraId="6866100D" w14:textId="77777777" w:rsidR="00D46FBA" w:rsidRPr="00DE18C1" w:rsidRDefault="00D46FBA" w:rsidP="00D46FBA">
                      <w:pPr>
                        <w:ind w:right="-6"/>
                        <w:rPr>
                          <w:rFonts w:ascii="Garamond" w:hAnsi="Garamond"/>
                          <w:vertAlign w:val="superscript"/>
                        </w:rPr>
                      </w:pPr>
                    </w:p>
                    <w:p w14:paraId="2E82C39A" w14:textId="77777777" w:rsidR="00D46FBA" w:rsidRPr="00DE18C1" w:rsidRDefault="00D46FBA" w:rsidP="00D46FBA">
                      <w:pPr>
                        <w:autoSpaceDE w:val="0"/>
                        <w:autoSpaceDN w:val="0"/>
                        <w:adjustRightInd w:val="0"/>
                        <w:ind w:right="-6"/>
                        <w:rPr>
                          <w:rFonts w:ascii="Garamond" w:hAnsi="Garamond" w:cs="AdvTTb5929f4c"/>
                        </w:rPr>
                      </w:pPr>
                      <w:r w:rsidRPr="00DE18C1">
                        <w:rPr>
                          <w:rFonts w:ascii="Garamond" w:hAnsi="Garamond" w:cs="AdvTTb5929f4c"/>
                          <w:vertAlign w:val="superscript"/>
                        </w:rPr>
                        <w:t>1</w:t>
                      </w:r>
                      <w:r w:rsidRPr="00DE18C1">
                        <w:rPr>
                          <w:rFonts w:ascii="Garamond" w:hAnsi="Garamond" w:cs="AdvTTb5929f4c"/>
                        </w:rPr>
                        <w:t xml:space="preserve"> Institut Cochin, 22 rue Méchain, 75014, Paris, France. </w:t>
                      </w:r>
                    </w:p>
                    <w:p w14:paraId="6996AE9A" w14:textId="77777777" w:rsidR="00D46FBA" w:rsidRPr="00DE18C1" w:rsidRDefault="00D46FBA" w:rsidP="00D46FBA">
                      <w:pPr>
                        <w:autoSpaceDE w:val="0"/>
                        <w:autoSpaceDN w:val="0"/>
                        <w:adjustRightInd w:val="0"/>
                        <w:ind w:right="-6"/>
                        <w:rPr>
                          <w:rFonts w:ascii="Garamond" w:hAnsi="Garamond" w:cs="AdvTTb5929f4c"/>
                        </w:rPr>
                      </w:pPr>
                      <w:r w:rsidRPr="00DE18C1">
                        <w:rPr>
                          <w:rFonts w:ascii="Garamond" w:hAnsi="Garamond" w:cs="AdvTTb5929f4c"/>
                          <w:vertAlign w:val="superscript"/>
                        </w:rPr>
                        <w:t>2</w:t>
                      </w:r>
                      <w:r w:rsidRPr="00DE18C1">
                        <w:rPr>
                          <w:rFonts w:ascii="Garamond" w:hAnsi="Garamond" w:cs="AdvTTb5929f4c"/>
                        </w:rPr>
                        <w:t xml:space="preserve"> </w:t>
                      </w:r>
                      <w:r>
                        <w:rPr>
                          <w:rFonts w:ascii="Garamond" w:hAnsi="Garamond" w:cs="AdvTTb5929f4c"/>
                        </w:rPr>
                        <w:t>CNRS</w:t>
                      </w:r>
                      <w:r w:rsidRPr="00DE18C1">
                        <w:rPr>
                          <w:rFonts w:ascii="Garamond" w:hAnsi="Garamond" w:cs="AdvTTb5929f4c"/>
                        </w:rPr>
                        <w:t xml:space="preserve"> UMR8104, Inserm, U1016, Paris, France. </w:t>
                      </w:r>
                    </w:p>
                    <w:p w14:paraId="54B54AF9" w14:textId="77777777" w:rsidR="00D46FBA" w:rsidRPr="009F151D" w:rsidRDefault="00D46FBA" w:rsidP="00D46FBA">
                      <w:pPr>
                        <w:autoSpaceDE w:val="0"/>
                        <w:autoSpaceDN w:val="0"/>
                        <w:adjustRightInd w:val="0"/>
                        <w:ind w:right="-6"/>
                        <w:rPr>
                          <w:rFonts w:ascii="Garamond" w:hAnsi="Garamond" w:cs="AdvTTb5929f4c"/>
                        </w:rPr>
                      </w:pPr>
                      <w:r w:rsidRPr="009F151D">
                        <w:rPr>
                          <w:rFonts w:ascii="Garamond" w:hAnsi="Garamond" w:cs="AdvTTb5929f4c"/>
                          <w:vertAlign w:val="superscript"/>
                        </w:rPr>
                        <w:t>3</w:t>
                      </w:r>
                      <w:r w:rsidRPr="009F151D">
                        <w:rPr>
                          <w:rFonts w:ascii="Garamond" w:hAnsi="Garamond" w:cs="AdvTTb5929f4c"/>
                        </w:rPr>
                        <w:t xml:space="preserve"> Université Paris Descartes, Sorbonne Paris Cité, Paris, France.</w:t>
                      </w:r>
                    </w:p>
                    <w:p w14:paraId="4A0A040E" w14:textId="77777777" w:rsidR="00D46FBA" w:rsidRPr="009F151D" w:rsidRDefault="00D46FBA" w:rsidP="00D46FBA">
                      <w:pPr>
                        <w:spacing w:line="360" w:lineRule="auto"/>
                        <w:ind w:right="-6"/>
                        <w:jc w:val="center"/>
                        <w:rPr>
                          <w:rFonts w:ascii="Garamond" w:hAnsi="Garamond"/>
                          <w:b/>
                        </w:rPr>
                      </w:pPr>
                    </w:p>
                    <w:p w14:paraId="293ED093" w14:textId="4FDDFD7D" w:rsidR="00D46FBA" w:rsidRDefault="00D46FBA" w:rsidP="00D46FBA">
                      <w:pPr>
                        <w:spacing w:line="360" w:lineRule="auto"/>
                        <w:ind w:right="-6"/>
                        <w:jc w:val="both"/>
                        <w:rPr>
                          <w:rFonts w:ascii="Garamond" w:hAnsi="Garamond"/>
                          <w:lang w:val="en-US"/>
                        </w:rPr>
                      </w:pPr>
                      <w:r w:rsidRPr="005025BA">
                        <w:rPr>
                          <w:rFonts w:ascii="Garamond" w:hAnsi="Garamond"/>
                          <w:lang w:val="en-US"/>
                        </w:rPr>
                        <w:t xml:space="preserve">While current antiretroviral treatment regimens have been extremely effective, issues of associated toxicity, cost and resistance remain. There is a need for novel approaches and antiretroviral compounds to complement the existing therapy and for developing new strategies for inhibition of HIV infection. Transcription from the HIV promoter in the viral long terminal repeat is regulated by the combined activity of the host transcription machinery and the viral transactivator Tat protein. Recently, the Tat inhibitor didehydro-cortistatin (dCA) has been reported to prevent viral reactivation from latent reservoirs, resulting in a permanent state of latency </w:t>
                      </w:r>
                      <w:r>
                        <w:rPr>
                          <w:rFonts w:ascii="Garamond" w:hAnsi="Garamond" w:cs="Arial"/>
                          <w:bCs/>
                          <w:lang w:val="en-US"/>
                        </w:rPr>
                        <w:t>or block-and-</w:t>
                      </w:r>
                      <w:r w:rsidRPr="005025BA">
                        <w:rPr>
                          <w:rFonts w:ascii="Garamond" w:hAnsi="Garamond" w:cs="Arial"/>
                          <w:bCs/>
                          <w:lang w:val="en-US"/>
                        </w:rPr>
                        <w:t xml:space="preserve">lock </w:t>
                      </w:r>
                      <w:r w:rsidRPr="005025BA">
                        <w:rPr>
                          <w:rFonts w:ascii="Garamond" w:hAnsi="Garamond"/>
                          <w:lang w:val="en-US"/>
                        </w:rPr>
                        <w:t xml:space="preserve">that could eventually culminate in a functional cure of HIV </w:t>
                      </w:r>
                      <w:r>
                        <w:rPr>
                          <w:rFonts w:ascii="Garamond" w:hAnsi="Garamond"/>
                          <w:lang w:val="en-US"/>
                        </w:rPr>
                        <w:fldChar w:fldCharType="begin"/>
                      </w:r>
                      <w:r>
                        <w:rPr>
                          <w:rFonts w:ascii="Garamond" w:hAnsi="Garamond"/>
                          <w:lang w:val="en-US"/>
                        </w:rPr>
                        <w:instrText xml:space="preserve"> ADDIN ZOTERO_ITEM CSL_CITATION {"citationID":"a1v5il5on50","properties":{"formattedCitation":"(Mousseau et al., 2015)","plainCitation":"(Mousseau et al., 2015)"},"citationItems":[{"id":15,"uris":["http://zotero.org/users/local/Y60EtQrO/items/P9JRNJPD"],"uri":["http://zotero.org/users/local/Y60EtQrO/items/P9JRNJPD"],"itemData":{"id":15,"type":"article-journal","title":"The Tat Inhibitor Didehydro-Cortistatin A Prevents HIV-1 Reactivation from Latency","container-title":"mBio","volume":"6","issue":"4","abstract":"Antiretroviral therapy (ART) inhibits HIV-1 replication, but the virus persists in latently infected resting memory CD4+ T cells susceptible to viral reactivation. The virus-encoded early gene product Tat activates transcription of the viral genome and promotes exponential viral production. Here we show that the Tat inhibitor didehydro-cortistatin A (dCA), unlike other antiretrovirals, reduces residual levels of viral transcription in several models of HIV latency, breaks the Tat-mediated transcriptional feedback loop, and establishes a nearly permanent state of latency, which greatly diminishes the capacity for virus reactivation. Importantly, treatment with dCA induces inactivation of viral transcription even after its removal, suggesting that the HIV promoter is epigenetically repressed. Critically, dCA inhibits viral reactivation upon CD3/CD28 or prostratin stimulation of latently infected CD4+ T cells from HIV-infected subjects receiving suppressive ART. Our results suggest that inclusion of a Tat inhibitor in current ART regimens may contribute to a functional HIV-1 cure by reducing low-level viremia and preventing viral reactivation from latent reservoirs.IMPORTANCE Antiretroviral therapy (ART) reduces HIV-1 replication to very low levels, but the virus persists in latently infected memory CD4+ T cells, representing a long-lasting source of resurgent virus upon ART interruption. Based on the mode of action of didehydro-cortistatin A (dCA), a Tat-dependent transcription inhibitor, our work highlights an alternative approach to current HIV-1 eradication strategies to decrease the latent reservoir. In our model, dCA blocks the Tat feedback loop initiated after low-level basal reactivation, blocking transcriptional elongation and hence viral production from latently infected cells. Therefore, dCA combined with ART would be aimed at delaying or halting ongoing viral replication, reactivation, and replenishment of the latent viral reservoir. Thus, the latent pool of cells in an infected individual would be stabilized, and death of the long-lived infected memory T cells would result in a continuous decay of this pool over time, possibly culminating in the long-awaited sterilizing cure.","URL":"http://mbio.asm.org/content/6/4/e00465-15.abstract","DOI":"10.1128/mBio.00465-15","journalAbbreviation":"mBio","author":[{"family":"Mousseau","given":"Guillaume"},{"family":"Kessing","given":"Cari F."},{"family":"Fromentin","given":"Rémi"},{"family":"Trautmann","given":"Lydie"},{"family":"Chomont","given":"Nicolas"},{"family":"Valente","given":"Susana T."}],"issued":{"date-parts":[["2015",9,1]]}}}],"schema":"https://github.com/citation-style-language/schema/raw/master/csl-citation.json"} </w:instrText>
                      </w:r>
                      <w:r>
                        <w:rPr>
                          <w:rFonts w:ascii="Garamond" w:hAnsi="Garamond"/>
                          <w:lang w:val="en-US"/>
                        </w:rPr>
                        <w:fldChar w:fldCharType="separate"/>
                      </w:r>
                      <w:r>
                        <w:rPr>
                          <w:rFonts w:ascii="Garamond" w:hAnsi="Garamond"/>
                          <w:noProof/>
                          <w:lang w:val="en-US"/>
                        </w:rPr>
                        <w:t>(Mousseau et al., 2015)</w:t>
                      </w:r>
                      <w:r>
                        <w:rPr>
                          <w:rFonts w:ascii="Garamond" w:hAnsi="Garamond"/>
                          <w:lang w:val="en-US"/>
                        </w:rPr>
                        <w:fldChar w:fldCharType="end"/>
                      </w:r>
                      <w:r w:rsidRPr="005025BA">
                        <w:rPr>
                          <w:rFonts w:ascii="Garamond" w:hAnsi="Garamond"/>
                          <w:lang w:val="en-US"/>
                        </w:rPr>
                        <w:t>. When introduced to humanized m</w:t>
                      </w:r>
                      <w:r>
                        <w:rPr>
                          <w:rFonts w:ascii="Garamond" w:hAnsi="Garamond"/>
                          <w:lang w:val="en-US"/>
                        </w:rPr>
                        <w:t xml:space="preserve">ice </w:t>
                      </w:r>
                      <w:r w:rsidRPr="005025BA">
                        <w:rPr>
                          <w:rFonts w:ascii="Garamond" w:hAnsi="Garamond"/>
                          <w:lang w:val="en-US"/>
                        </w:rPr>
                        <w:t xml:space="preserve">models of HIV-1 infection, dCA stops the virus’s production, activation, and the replenishment of other infected cells that would contribute to the spread and growth of HIV </w:t>
                      </w:r>
                      <w:r>
                        <w:rPr>
                          <w:rFonts w:ascii="Garamond" w:hAnsi="Garamond"/>
                          <w:lang w:val="en-US"/>
                        </w:rPr>
                        <w:fldChar w:fldCharType="begin"/>
                      </w:r>
                      <w:r>
                        <w:rPr>
                          <w:rFonts w:ascii="Garamond" w:hAnsi="Garamond"/>
                          <w:lang w:val="en-US"/>
                        </w:rPr>
                        <w:instrText xml:space="preserve"> ADDIN ZOTERO_ITEM CSL_CITATION {"citationID":"a2gjna2jqlm","properties":{"formattedCitation":"(Kessing et al., 2017)","plainCitation":"(Kessing et al., 2017)"},"citationItems":[{"id":17,"uris":["http://zotero.org/users/local/Y60EtQrO/items/CMQQIEKV"],"uri":["http://zotero.org/users/local/Y60EtQrO/items/CMQQIEKV"],"itemData":{"id":17,"type":"article-journal","title":"In Vivo Suppression of HIV Rebound by Didehydro-Cortistatin A, a “Block-and-Lock” Strategy for HIV-1 Treatment","container-title":"Cell Reports","page":"600-611","volume":"21","issue":"3","DOI":"10.1016/j.celrep.2017.09.080","ISSN":"2211-1247","author":[{"family":"Kessing","given":"Cari F."},{"family":"Nixon","given":"Christopher C."},{"family":"Li","given":"Chuan"},{"family":"Tsai","given":"Perry"},{"family":"Takata","given":"Hiroshi"},{"family":"Mousseau","given":"Guillaume"},{"family":"Ho","given":"Phong T."},{"family":"Honeycutt","given":"Jenna B."},{"family":"Fallahi","given":"Mohammad"},{"family":"Trautmann","given":"Lydie"},{"family":"Garcia","given":"J. Victor"},{"family":"Valente","given":"Susana T."}],"issued":{"date-parts":[["2017",10,17]]}}}],"schema":"https://github.com/citation-style-language/schema/raw/master/csl-citation.json"} </w:instrText>
                      </w:r>
                      <w:r>
                        <w:rPr>
                          <w:rFonts w:ascii="Garamond" w:hAnsi="Garamond"/>
                          <w:lang w:val="en-US"/>
                        </w:rPr>
                        <w:fldChar w:fldCharType="separate"/>
                      </w:r>
                      <w:r>
                        <w:rPr>
                          <w:rFonts w:ascii="Garamond" w:hAnsi="Garamond"/>
                          <w:noProof/>
                          <w:lang w:val="en-US"/>
                        </w:rPr>
                        <w:t>(Kessing et al., 2017)</w:t>
                      </w:r>
                      <w:r>
                        <w:rPr>
                          <w:rFonts w:ascii="Garamond" w:hAnsi="Garamond"/>
                          <w:lang w:val="en-US"/>
                        </w:rPr>
                        <w:fldChar w:fldCharType="end"/>
                      </w:r>
                      <w:r w:rsidRPr="005025BA">
                        <w:rPr>
                          <w:rFonts w:ascii="Garamond" w:hAnsi="Garamond"/>
                          <w:lang w:val="en-US"/>
                        </w:rPr>
                        <w:t>, this work demonstrated the potential of block-and-lock cure strategies. We have discovered that spironolactone (SP) - an antagonist of aldosterone - specifically inhibits HIV infection of permissive T cells and reactivation of latently infected T cells</w:t>
                      </w:r>
                      <w:r>
                        <w:rPr>
                          <w:rFonts w:ascii="Garamond" w:hAnsi="Garamond"/>
                          <w:lang w:val="en-US"/>
                        </w:rPr>
                        <w:t xml:space="preserve"> </w:t>
                      </w:r>
                      <w:r>
                        <w:rPr>
                          <w:rFonts w:ascii="Garamond" w:hAnsi="Garamond"/>
                          <w:lang w:val="en-US"/>
                        </w:rPr>
                        <w:fldChar w:fldCharType="begin"/>
                      </w:r>
                      <w:r>
                        <w:rPr>
                          <w:rFonts w:ascii="Garamond" w:hAnsi="Garamond"/>
                          <w:lang w:val="en-US"/>
                        </w:rPr>
                        <w:instrText xml:space="preserve"> ADDIN ZOTERO_ITEM CSL_CITATION {"citationID":"a13h3u0j2tr","properties":{"formattedCitation":"(Lacombe et al., 2016)","plainCitation":"(Lacombe et al., 2016)"},"citationItems":[{"id":16,"uris":["http://zotero.org/users/local/Y60EtQrO/items/TGDITQFK"],"uri":["http://zotero.org/users/local/Y60EtQrO/items/TGDITQFK"],"itemData":{"id":16,"type":"article-journal","title":"Specific Inhibition of HIV Infection by the Action of Spironolactone in T Cells","container-title":"Journal of Virology","page":"10972-10980","volume":"90","issue":"23","archive":"PMC","archive_location":"PMC5110165","abstract":"Tat protein, the HIV transactivator, regulates transcription of the HIV genome by the host transcription machinery. Efficient inhibitors of HIV transcription that target Tat or the cellular cofactor NF-κB are well known. However, inhibition of HIV Tat-dependent transcription by targeting the general transcription and DNA repair factor II human (TFIIH) has not been reported. Here, we show that spironolactone (SP), an aldosterone antagonist approved for clinical use, inhibits HIV-1 and HIV-2 infection of permissive T cells by blocking viral Tat-dependent transcription from the long terminal repeat (LTR). We found that treatment of Jurkat and primary CD4(+) T cells with SP induces degradation of the XPB cellular helicase, a component of the TFIIH complex, without affecting cellular mRNA levels, T cell viability, or T cell proliferation. We further demonstrate that the effect of SP on HIV infection is independent of its aldosterone antagonist function, since the structural analogue, eplerenone, does not induce XPB degradation and does not inhibit HIV infection. Rescue experiments showed that the SP-induced block of HIV infection relies, at least partially, on XPB degradation. In addition, we demonstrate that SP specifically inhibits Tat-dependent transcription, since basal transcription from the LTR is not affected. Our results demonstrate that SP is a specific inhibitor of HIV Tat-dependent transcription in T cells, which additionally suggests that XPB is a cofactor required for HIV infection. Targeting a cellular cofactor of HIV transcription constitutes an alternative strategy to inhibit HIV infection, together with the existing antiretroviral therapy.\nIMPORTANCE Transcription from the HIV promoter is regulated by the combined activities of the host transcription machinery and the viral transactivator Tat protein. Here, we report that the drug spironolactone—an antagonist of aldosterone—blocks viral Tat-dependent transcription, thereby inhibiting both HIV-1 and HIV-2 infection of permissive T cells. This inhibition relies on the degradation of the cellular helicase XPB, a component of the TFIIH transcription factor complex. Consequently, XPB appears to be a novel HIV cofactor. Our discovery of the HIV-inhibitory activity of spironolactone opens the way for the development of novel anti-HIV strategies targeting a cellular cofactor without the limitations of antiretroviral therapy of drug resistance and high cost.","DOI":"10.1128/JVI.01722-16","ISSN":"0022-538X","author":[{"family":"Lacombe","given":"Benoît"},{"family":"Morel","given":"Marina"},{"family":"Margottin-Goguet","given":"Florence"},{"family":"Ramirez","given":"Bertha Cecilia"}],"editor":[{"family":"Kirchhoff","given":"F"}],"issued":{"date-parts":[["2016",12,1]]}}}],"schema":"https://github.com/citation-style-language/schema/raw/master/csl-citation.json"} </w:instrText>
                      </w:r>
                      <w:r>
                        <w:rPr>
                          <w:rFonts w:ascii="Garamond" w:hAnsi="Garamond"/>
                          <w:lang w:val="en-US"/>
                        </w:rPr>
                        <w:fldChar w:fldCharType="separate"/>
                      </w:r>
                      <w:r>
                        <w:rPr>
                          <w:rFonts w:ascii="Garamond" w:hAnsi="Garamond"/>
                          <w:noProof/>
                          <w:lang w:val="en-US"/>
                        </w:rPr>
                        <w:t>(Lacombe et al., 2016)</w:t>
                      </w:r>
                      <w:r>
                        <w:rPr>
                          <w:rFonts w:ascii="Garamond" w:hAnsi="Garamond"/>
                          <w:lang w:val="en-US"/>
                        </w:rPr>
                        <w:fldChar w:fldCharType="end"/>
                      </w:r>
                      <w:r w:rsidRPr="005025BA">
                        <w:rPr>
                          <w:rFonts w:ascii="Garamond" w:hAnsi="Garamond"/>
                          <w:lang w:val="en-US"/>
                        </w:rPr>
                        <w:t xml:space="preserve">. SP-induced inhibition is mediated by blocking the Tat-dependent transcription of HIV-1 and HIV-2 and the reactivation of transcription from latent HIV-1 promoters in latently infected T cells. SP offers the advantages of </w:t>
                      </w:r>
                      <w:r>
                        <w:rPr>
                          <w:rFonts w:ascii="Garamond" w:hAnsi="Garamond"/>
                          <w:lang w:val="en-US"/>
                        </w:rPr>
                        <w:t>being cheap and acting</w:t>
                      </w:r>
                      <w:r w:rsidRPr="005025BA">
                        <w:rPr>
                          <w:rFonts w:ascii="Garamond" w:hAnsi="Garamond"/>
                          <w:lang w:val="en-US"/>
                        </w:rPr>
                        <w:t xml:space="preserve"> both in permissive cells as well as in reservoirs where the virus persists despite antiretroviral therapy. Finally, only HIV transcriptional inhibitors like dCA and SP that prevent infected cells from making viruses, stop the side effects of low-level virus production.</w:t>
                      </w:r>
                    </w:p>
                    <w:p w14:paraId="12529242" w14:textId="77777777" w:rsidR="0029646C" w:rsidRDefault="0029646C" w:rsidP="00D46FBA">
                      <w:pPr>
                        <w:spacing w:line="360" w:lineRule="auto"/>
                        <w:ind w:right="-6"/>
                        <w:jc w:val="both"/>
                        <w:rPr>
                          <w:rFonts w:ascii="Garamond" w:hAnsi="Garamond"/>
                          <w:lang w:val="en-US"/>
                        </w:rPr>
                      </w:pPr>
                    </w:p>
                    <w:p w14:paraId="69D462DA" w14:textId="77777777" w:rsidR="00D46FBA" w:rsidRPr="0029646C" w:rsidRDefault="00D46FBA" w:rsidP="00D46FBA">
                      <w:pPr>
                        <w:spacing w:line="360" w:lineRule="auto"/>
                        <w:ind w:right="-6"/>
                        <w:jc w:val="both"/>
                        <w:rPr>
                          <w:rFonts w:ascii="Garamond" w:hAnsi="Garamond"/>
                          <w:b/>
                          <w:lang w:val="en-US"/>
                        </w:rPr>
                      </w:pPr>
                      <w:r w:rsidRPr="0029646C">
                        <w:rPr>
                          <w:rFonts w:ascii="Garamond" w:hAnsi="Garamond"/>
                          <w:b/>
                          <w:lang w:val="en-US"/>
                        </w:rPr>
                        <w:t>References</w:t>
                      </w:r>
                    </w:p>
                    <w:p w14:paraId="43AED18C" w14:textId="1371EE66" w:rsidR="00D46FBA" w:rsidRDefault="00D46FBA" w:rsidP="00D46FBA">
                      <w:pPr>
                        <w:pStyle w:val="Bibliographie1"/>
                        <w:ind w:left="284" w:right="-6" w:hanging="284"/>
                      </w:pPr>
                      <w:r>
                        <w:t xml:space="preserve">1. </w:t>
                      </w:r>
                      <w:r w:rsidRPr="009F151D">
                        <w:t xml:space="preserve">Mousseau, G., Kessing, C.F., </w:t>
                      </w:r>
                      <w:proofErr w:type="spellStart"/>
                      <w:r w:rsidRPr="009F151D">
                        <w:t>Fromentin</w:t>
                      </w:r>
                      <w:proofErr w:type="spellEnd"/>
                      <w:r w:rsidRPr="009F151D">
                        <w:t xml:space="preserve">, R., </w:t>
                      </w:r>
                      <w:proofErr w:type="spellStart"/>
                      <w:r w:rsidRPr="009F151D">
                        <w:t>Trautmann</w:t>
                      </w:r>
                      <w:proofErr w:type="spellEnd"/>
                      <w:r w:rsidRPr="009F151D">
                        <w:t xml:space="preserve">, L., </w:t>
                      </w:r>
                      <w:proofErr w:type="spellStart"/>
                      <w:r w:rsidRPr="009F151D">
                        <w:t>Chomont</w:t>
                      </w:r>
                      <w:proofErr w:type="spellEnd"/>
                      <w:r w:rsidRPr="009F151D">
                        <w:t xml:space="preserve">, N., and Valente, S.T. (2015). The Tat Inhibitor Didehydro-Cortistatin A Prevents HIV-1 Reactivation from Latency. </w:t>
                      </w:r>
                      <w:proofErr w:type="spellStart"/>
                      <w:r w:rsidRPr="009F151D">
                        <w:t>MBio</w:t>
                      </w:r>
                      <w:proofErr w:type="spellEnd"/>
                      <w:r w:rsidRPr="009F151D">
                        <w:t xml:space="preserve"> </w:t>
                      </w:r>
                      <w:r w:rsidRPr="00D46FBA">
                        <w:t>6</w:t>
                      </w:r>
                      <w:r w:rsidRPr="009F151D">
                        <w:t>.</w:t>
                      </w:r>
                    </w:p>
                    <w:p w14:paraId="24A9BAE2" w14:textId="14D381D2" w:rsidR="00D46FBA" w:rsidRPr="009F151D" w:rsidRDefault="00D46FBA" w:rsidP="001D22FA">
                      <w:pPr>
                        <w:pStyle w:val="Bibliographie1"/>
                        <w:ind w:left="284" w:right="-6" w:hanging="284"/>
                      </w:pPr>
                      <w:r>
                        <w:t xml:space="preserve">2. </w:t>
                      </w:r>
                      <w:r>
                        <w:fldChar w:fldCharType="begin"/>
                      </w:r>
                      <w:r>
                        <w:instrText xml:space="preserve"> ADDIN ZOTERO_BIBL {"custom":[]} CSL_BIBLIOGRAPHY </w:instrText>
                      </w:r>
                      <w:r>
                        <w:fldChar w:fldCharType="separate"/>
                      </w:r>
                      <w:proofErr w:type="spellStart"/>
                      <w:r w:rsidRPr="009F151D">
                        <w:t>Kessing</w:t>
                      </w:r>
                      <w:proofErr w:type="spellEnd"/>
                      <w:r w:rsidRPr="009F151D">
                        <w:t xml:space="preserve">, C.F., Nixon, C.C., Li, C., Tsai, P., Takata, H., Mousseau, G., Ho, P.T., Honeycutt, J.B., Fallahi, M., Trautmann, L., et al. (2017). In Vivo Suppression of HIV Rebound by Didehydro-Cortistatin A, a “Block-and-Lock” Strategy for HIV-1 Treatment. Cell Rep. </w:t>
                      </w:r>
                      <w:r w:rsidRPr="00D46FBA">
                        <w:t>21</w:t>
                      </w:r>
                      <w:r w:rsidRPr="009F151D">
                        <w:t>, 600–611.</w:t>
                      </w:r>
                    </w:p>
                    <w:p w14:paraId="1E732D78" w14:textId="5A39B8C8" w:rsidR="00D46FBA" w:rsidRPr="009F151D" w:rsidRDefault="0021553A" w:rsidP="0021553A">
                      <w:pPr>
                        <w:pStyle w:val="Bibliographie1"/>
                        <w:ind w:left="284" w:right="-6" w:hanging="284"/>
                      </w:pPr>
                      <w:r>
                        <w:t xml:space="preserve">3. </w:t>
                      </w:r>
                      <w:r w:rsidR="00D46FBA" w:rsidRPr="009F151D">
                        <w:t xml:space="preserve">Lacombe, B., Morel, M., Margottin-Goguet, F., and Ramirez, B.C. (2016). Specific Inhibition of HIV Infection by the Action of Spironolactone in T Cells. J. Virol. </w:t>
                      </w:r>
                      <w:r w:rsidR="00D46FBA" w:rsidRPr="00D46FBA">
                        <w:t>90</w:t>
                      </w:r>
                      <w:r w:rsidR="00D46FBA" w:rsidRPr="009F151D">
                        <w:t>, 10972–10980.</w:t>
                      </w:r>
                    </w:p>
                    <w:p w14:paraId="43A4255E" w14:textId="77777777" w:rsidR="00D46FBA" w:rsidRPr="00801F28" w:rsidRDefault="00D46FBA" w:rsidP="00801F28">
                      <w:pPr>
                        <w:spacing w:line="360" w:lineRule="auto"/>
                        <w:ind w:right="-6"/>
                        <w:jc w:val="both"/>
                        <w:rPr>
                          <w:rFonts w:ascii="Garamond" w:hAnsi="Garamond"/>
                        </w:rPr>
                      </w:pPr>
                      <w:r>
                        <w:rPr>
                          <w:rFonts w:ascii="Garamond" w:hAnsi="Garamond"/>
                          <w:lang w:val="en-US"/>
                        </w:rPr>
                        <w:fldChar w:fldCharType="end"/>
                      </w:r>
                    </w:p>
                  </w:txbxContent>
                </v:textbox>
                <w10:wrap type="square"/>
              </v:shape>
            </w:pict>
          </mc:Fallback>
        </mc:AlternateContent>
      </w:r>
    </w:p>
    <w:sectPr w:rsidR="00724791" w:rsidRPr="005025BA" w:rsidSect="00E94989">
      <w:pgSz w:w="11900" w:h="16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Garamond">
    <w:panose1 w:val="02020404030301010803"/>
    <w:charset w:val="00"/>
    <w:family w:val="auto"/>
    <w:pitch w:val="variable"/>
    <w:sig w:usb0="00000003" w:usb1="00000000" w:usb2="00000000" w:usb3="00000000" w:csb0="00000001" w:csb1="00000000"/>
  </w:font>
  <w:font w:name="AdvTTb5929f4c">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022B"/>
    <w:rsid w:val="00045947"/>
    <w:rsid w:val="000A022B"/>
    <w:rsid w:val="00146C73"/>
    <w:rsid w:val="001A0864"/>
    <w:rsid w:val="001C7FD3"/>
    <w:rsid w:val="001D22FA"/>
    <w:rsid w:val="001E087F"/>
    <w:rsid w:val="0021553A"/>
    <w:rsid w:val="0029646C"/>
    <w:rsid w:val="002A6C2B"/>
    <w:rsid w:val="003D586B"/>
    <w:rsid w:val="004479E2"/>
    <w:rsid w:val="00450D2D"/>
    <w:rsid w:val="004A082B"/>
    <w:rsid w:val="004B77CF"/>
    <w:rsid w:val="004D4BBA"/>
    <w:rsid w:val="004E1608"/>
    <w:rsid w:val="005025BA"/>
    <w:rsid w:val="00585CF6"/>
    <w:rsid w:val="005E529D"/>
    <w:rsid w:val="006C7188"/>
    <w:rsid w:val="006E0BEC"/>
    <w:rsid w:val="00724791"/>
    <w:rsid w:val="00821994"/>
    <w:rsid w:val="00875957"/>
    <w:rsid w:val="0088229F"/>
    <w:rsid w:val="009B6EE1"/>
    <w:rsid w:val="009F151D"/>
    <w:rsid w:val="009F442B"/>
    <w:rsid w:val="00A20434"/>
    <w:rsid w:val="00A904BF"/>
    <w:rsid w:val="00B0796A"/>
    <w:rsid w:val="00B300CC"/>
    <w:rsid w:val="00B42489"/>
    <w:rsid w:val="00B61677"/>
    <w:rsid w:val="00C01522"/>
    <w:rsid w:val="00C12FD6"/>
    <w:rsid w:val="00CA526A"/>
    <w:rsid w:val="00CC0F37"/>
    <w:rsid w:val="00CE4663"/>
    <w:rsid w:val="00D46FBA"/>
    <w:rsid w:val="00D50D12"/>
    <w:rsid w:val="00D57E9C"/>
    <w:rsid w:val="00D61207"/>
    <w:rsid w:val="00DE18C1"/>
    <w:rsid w:val="00DE6859"/>
    <w:rsid w:val="00E14E83"/>
    <w:rsid w:val="00E94989"/>
    <w:rsid w:val="00ED30CE"/>
    <w:rsid w:val="00FE049C"/>
  </w:rsids>
  <m:mathPr>
    <m:mathFont m:val="Cambria Math"/>
    <m:brkBin m:val="before"/>
    <m:brkBinSub m:val="--"/>
    <m:smallFrac/>
    <m:dispDef/>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79C6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22B"/>
    <w:rPr>
      <w:rFonts w:ascii="Times New Roman" w:eastAsia="Times New Roman" w:hAnsi="Times New Roman" w:cs="Times New Roman"/>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vision">
    <w:name w:val="Revision"/>
    <w:hidden/>
    <w:uiPriority w:val="99"/>
    <w:semiHidden/>
    <w:rsid w:val="00CA526A"/>
    <w:rPr>
      <w:rFonts w:ascii="Times New Roman" w:eastAsia="Times New Roman" w:hAnsi="Times New Roman" w:cs="Times New Roman"/>
      <w:lang w:val="fr-FR"/>
    </w:rPr>
  </w:style>
  <w:style w:type="paragraph" w:customStyle="1" w:styleId="Bibliographie1">
    <w:name w:val="Bibliographie1"/>
    <w:basedOn w:val="Normal"/>
    <w:link w:val="BibliographyCar"/>
    <w:rsid w:val="009F151D"/>
    <w:pPr>
      <w:spacing w:after="240"/>
      <w:ind w:right="135"/>
      <w:jc w:val="both"/>
    </w:pPr>
    <w:rPr>
      <w:rFonts w:ascii="Garamond" w:hAnsi="Garamond"/>
      <w:lang w:val="en-US"/>
    </w:rPr>
  </w:style>
  <w:style w:type="character" w:customStyle="1" w:styleId="BibliographyCar">
    <w:name w:val="Bibliography Car"/>
    <w:basedOn w:val="Policepardfaut"/>
    <w:link w:val="Bibliographie1"/>
    <w:rsid w:val="009F151D"/>
    <w:rPr>
      <w:rFonts w:ascii="Garamond" w:eastAsia="Times New Roman" w:hAnsi="Garamond" w:cs="Times New Roman"/>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22B"/>
    <w:rPr>
      <w:rFonts w:ascii="Times New Roman" w:eastAsia="Times New Roman" w:hAnsi="Times New Roman" w:cs="Times New Roman"/>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vision">
    <w:name w:val="Revision"/>
    <w:hidden/>
    <w:uiPriority w:val="99"/>
    <w:semiHidden/>
    <w:rsid w:val="00CA526A"/>
    <w:rPr>
      <w:rFonts w:ascii="Times New Roman" w:eastAsia="Times New Roman" w:hAnsi="Times New Roman" w:cs="Times New Roman"/>
      <w:lang w:val="fr-FR"/>
    </w:rPr>
  </w:style>
  <w:style w:type="paragraph" w:customStyle="1" w:styleId="Bibliographie1">
    <w:name w:val="Bibliographie1"/>
    <w:basedOn w:val="Normal"/>
    <w:link w:val="BibliographyCar"/>
    <w:rsid w:val="009F151D"/>
    <w:pPr>
      <w:spacing w:after="240"/>
      <w:ind w:right="135"/>
      <w:jc w:val="both"/>
    </w:pPr>
    <w:rPr>
      <w:rFonts w:ascii="Garamond" w:hAnsi="Garamond"/>
      <w:lang w:val="en-US"/>
    </w:rPr>
  </w:style>
  <w:style w:type="character" w:customStyle="1" w:styleId="BibliographyCar">
    <w:name w:val="Bibliography Car"/>
    <w:basedOn w:val="Policepardfaut"/>
    <w:link w:val="Bibliographie1"/>
    <w:rsid w:val="009F151D"/>
    <w:rPr>
      <w:rFonts w:ascii="Garamond" w:eastAsia="Times New Roman" w:hAnsi="Garamond"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0</Words>
  <Characters>1</Characters>
  <Application>Microsoft Macintosh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CNRS</Company>
  <LinksUpToDate>false</LinksUpToDate>
  <CharactersWithSpaces>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Cecy</dc:creator>
  <cp:keywords/>
  <dc:description/>
  <cp:lastModifiedBy>Cecilia RAMIREZ</cp:lastModifiedBy>
  <cp:revision>5</cp:revision>
  <cp:lastPrinted>2018-05-30T17:38:00Z</cp:lastPrinted>
  <dcterms:created xsi:type="dcterms:W3CDTF">2018-05-31T07:30:00Z</dcterms:created>
  <dcterms:modified xsi:type="dcterms:W3CDTF">2018-05-31T07:33:00Z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zotero-version="5.0.35.1"&gt;&lt;session id="X8NCt2BE"/&gt;&lt;style id="http://www.zotero.org/styles/cell" hasBibliography="1" bibliographyStyleHasBeenSet="1"/&gt;&lt;prefs&gt;&lt;pref name="fieldType" value="Field"/&gt;&lt;pref name="automaticJournalAbbreviati</vt:lpwstr>
  </property>
  <property fmtid="{D5CDD505-2E9C-101B-9397-08002B2CF9AE}" pid="3" name="ZOTERO_PREF_2">
    <vt:lpwstr>ons" value="true"/&gt;&lt;pref name="noteType" value="0"/&gt;&lt;/prefs&gt;&lt;/data&gt;</vt:lpwstr>
  </property>
</Properties>
</file>