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03E" w:rsidRPr="00E4003E" w:rsidRDefault="00E4003E" w:rsidP="00E4003E">
      <w:pPr>
        <w:rPr>
          <w:lang w:val="en-US"/>
        </w:rPr>
      </w:pPr>
      <w:r w:rsidRPr="00E4003E">
        <w:rPr>
          <w:lang w:val="en-US"/>
        </w:rPr>
        <w:t xml:space="preserve">Evaluation of neutralizing anti-HIV-1 response in individuals infected by viral subtypes prevalent in Brazil in relation to genetic and biochemical characteristics of the </w:t>
      </w:r>
      <w:proofErr w:type="spellStart"/>
      <w:r w:rsidRPr="00E4003E">
        <w:rPr>
          <w:lang w:val="en-US"/>
        </w:rPr>
        <w:t>env</w:t>
      </w:r>
      <w:proofErr w:type="spellEnd"/>
      <w:r w:rsidRPr="00E4003E">
        <w:rPr>
          <w:lang w:val="en-US"/>
        </w:rPr>
        <w:t xml:space="preserve"> gene</w:t>
      </w:r>
    </w:p>
    <w:p w:rsidR="00E4003E" w:rsidRPr="00E4003E" w:rsidRDefault="00E4003E" w:rsidP="00E4003E">
      <w:pPr>
        <w:rPr>
          <w:lang w:val="en-US"/>
        </w:rPr>
      </w:pPr>
    </w:p>
    <w:p w:rsidR="00E4003E" w:rsidRDefault="00E4003E" w:rsidP="00E4003E">
      <w:r>
        <w:t xml:space="preserve">Dalziza </w:t>
      </w:r>
      <w:proofErr w:type="spellStart"/>
      <w:r>
        <w:t>Victalina</w:t>
      </w:r>
      <w:proofErr w:type="spellEnd"/>
      <w:r>
        <w:t xml:space="preserve"> de Almeida</w:t>
      </w:r>
      <w:r>
        <w:t xml:space="preserve">, Vera </w:t>
      </w:r>
      <w:proofErr w:type="spellStart"/>
      <w:r>
        <w:t>Bongertz</w:t>
      </w:r>
      <w:proofErr w:type="spellEnd"/>
      <w:r>
        <w:t xml:space="preserve"> </w:t>
      </w:r>
      <w:proofErr w:type="spellStart"/>
      <w:r>
        <w:t>and</w:t>
      </w:r>
      <w:proofErr w:type="spellEnd"/>
      <w:r>
        <w:t xml:space="preserve"> </w:t>
      </w:r>
      <w:proofErr w:type="spellStart"/>
      <w:r>
        <w:t>Monick</w:t>
      </w:r>
      <w:proofErr w:type="spellEnd"/>
      <w:r>
        <w:t xml:space="preserve"> </w:t>
      </w:r>
      <w:proofErr w:type="spellStart"/>
      <w:r>
        <w:t>Lindenmeyer</w:t>
      </w:r>
      <w:proofErr w:type="spellEnd"/>
      <w:r>
        <w:t xml:space="preserve"> Guimarães</w:t>
      </w:r>
    </w:p>
    <w:p w:rsidR="00E4003E" w:rsidRPr="00E4003E" w:rsidRDefault="00E4003E" w:rsidP="00E4003E">
      <w:pPr>
        <w:rPr>
          <w:rFonts w:eastAsia="Calibri" w:cs="Arial"/>
          <w:lang w:val="en-US"/>
        </w:rPr>
      </w:pPr>
      <w:r w:rsidRPr="002B6375">
        <w:rPr>
          <w:rFonts w:eastAsia="Calibri" w:cs="Arial"/>
          <w:lang w:val="en-US"/>
        </w:rPr>
        <w:t xml:space="preserve">Laboratory of AIDS and Molecular Immunology. </w:t>
      </w:r>
      <w:r w:rsidRPr="002B6375">
        <w:rPr>
          <w:rFonts w:eastAsia="Calibri" w:cs="Arial"/>
        </w:rPr>
        <w:t xml:space="preserve">Oswaldo Cruz </w:t>
      </w:r>
      <w:proofErr w:type="spellStart"/>
      <w:r w:rsidRPr="002B6375">
        <w:rPr>
          <w:rFonts w:eastAsia="Calibri" w:cs="Arial"/>
        </w:rPr>
        <w:t>Institute</w:t>
      </w:r>
      <w:proofErr w:type="spellEnd"/>
      <w:r w:rsidRPr="002B6375">
        <w:rPr>
          <w:rFonts w:eastAsia="Calibri" w:cs="Arial"/>
        </w:rPr>
        <w:t xml:space="preserve"> - F</w:t>
      </w:r>
      <w:r w:rsidRPr="002B6375">
        <w:rPr>
          <w:rFonts w:eastAsia="Calibri" w:cs="Arial"/>
          <w:bCs/>
        </w:rPr>
        <w:t>IOCRUZ</w:t>
      </w:r>
      <w:r w:rsidRPr="002B6375">
        <w:rPr>
          <w:rFonts w:eastAsia="Calibri" w:cs="Arial"/>
        </w:rPr>
        <w:t xml:space="preserve">. Rio de Janeiro. </w:t>
      </w:r>
      <w:r w:rsidRPr="00E4003E">
        <w:rPr>
          <w:rFonts w:eastAsia="Calibri" w:cs="Arial"/>
          <w:lang w:val="en-US"/>
        </w:rPr>
        <w:t>Brazil.</w:t>
      </w:r>
    </w:p>
    <w:p w:rsidR="00FB5B6F" w:rsidRPr="00E4003E" w:rsidRDefault="00E4003E" w:rsidP="00E4003E">
      <w:pPr>
        <w:jc w:val="both"/>
        <w:rPr>
          <w:lang w:val="en-US"/>
        </w:rPr>
      </w:pPr>
      <w:r w:rsidRPr="00E4003E">
        <w:rPr>
          <w:lang w:val="en-US"/>
        </w:rPr>
        <w:t>It is expected that an HIV vaccine/aids be able to induce specific response in CD8+ T cells and neutralizing antibodies (</w:t>
      </w:r>
      <w:proofErr w:type="gramStart"/>
      <w:r w:rsidRPr="00E4003E">
        <w:rPr>
          <w:lang w:val="en-US"/>
        </w:rPr>
        <w:t>nAb</w:t>
      </w:r>
      <w:proofErr w:type="gramEnd"/>
      <w:r w:rsidRPr="00E4003E">
        <w:rPr>
          <w:lang w:val="en-US"/>
        </w:rPr>
        <w:t xml:space="preserve">). </w:t>
      </w:r>
      <w:proofErr w:type="gramStart"/>
      <w:r w:rsidRPr="00E4003E">
        <w:rPr>
          <w:lang w:val="en-US"/>
        </w:rPr>
        <w:t>However</w:t>
      </w:r>
      <w:proofErr w:type="gramEnd"/>
      <w:r w:rsidRPr="00E4003E">
        <w:rPr>
          <w:lang w:val="en-US"/>
        </w:rPr>
        <w:t xml:space="preserve"> the high genetic variability of the virus envelope gene (</w:t>
      </w:r>
      <w:proofErr w:type="spellStart"/>
      <w:r w:rsidRPr="00E4003E">
        <w:rPr>
          <w:lang w:val="en-US"/>
        </w:rPr>
        <w:t>env</w:t>
      </w:r>
      <w:proofErr w:type="spellEnd"/>
      <w:r w:rsidRPr="00E4003E">
        <w:rPr>
          <w:lang w:val="en-US"/>
        </w:rPr>
        <w:t xml:space="preserve">) is one of the factors that can influence the ability of a vaccine. Thus, in order to assess humoral immune response against immunogens, HIV-1 neutralizing antibody detection assays </w:t>
      </w:r>
      <w:proofErr w:type="gramStart"/>
      <w:r w:rsidRPr="00E4003E">
        <w:rPr>
          <w:lang w:val="en-US"/>
        </w:rPr>
        <w:t>have been used</w:t>
      </w:r>
      <w:proofErr w:type="gramEnd"/>
      <w:r w:rsidRPr="00E4003E">
        <w:rPr>
          <w:lang w:val="en-US"/>
        </w:rPr>
        <w:t>. Therefore, this study aims to evaluate the hum</w:t>
      </w:r>
      <w:bookmarkStart w:id="0" w:name="_GoBack"/>
      <w:bookmarkEnd w:id="0"/>
      <w:r w:rsidRPr="00E4003E">
        <w:rPr>
          <w:lang w:val="en-US"/>
        </w:rPr>
        <w:t xml:space="preserve">oral immune response in individuals with different AIDS progression profiles and map the </w:t>
      </w:r>
      <w:proofErr w:type="spellStart"/>
      <w:r w:rsidRPr="00E4003E">
        <w:rPr>
          <w:lang w:val="en-US"/>
        </w:rPr>
        <w:t>env</w:t>
      </w:r>
      <w:proofErr w:type="spellEnd"/>
      <w:r w:rsidRPr="00E4003E">
        <w:rPr>
          <w:lang w:val="en-US"/>
        </w:rPr>
        <w:t xml:space="preserve"> gene characteristics of HIV-1 subtypes prevalent in Brazil. To this end, we performed a comparison between two neutralization assays, one using the viral isolate HIV-1IIIB in primary lymphocytes and the other neutralization with TZM-</w:t>
      </w:r>
      <w:proofErr w:type="spellStart"/>
      <w:r w:rsidRPr="00E4003E">
        <w:rPr>
          <w:lang w:val="en-US"/>
        </w:rPr>
        <w:t>bl</w:t>
      </w:r>
      <w:proofErr w:type="spellEnd"/>
      <w:r w:rsidRPr="00E4003E">
        <w:rPr>
          <w:lang w:val="en-US"/>
        </w:rPr>
        <w:t xml:space="preserve"> cells tested against eight </w:t>
      </w:r>
      <w:proofErr w:type="spellStart"/>
      <w:r w:rsidRPr="00E4003E">
        <w:rPr>
          <w:lang w:val="en-US"/>
        </w:rPr>
        <w:t>pseudovírus</w:t>
      </w:r>
      <w:proofErr w:type="spellEnd"/>
      <w:r w:rsidRPr="00E4003E">
        <w:rPr>
          <w:lang w:val="en-US"/>
        </w:rPr>
        <w:t xml:space="preserve"> (</w:t>
      </w:r>
      <w:proofErr w:type="spellStart"/>
      <w:r w:rsidRPr="00E4003E">
        <w:rPr>
          <w:lang w:val="en-US"/>
        </w:rPr>
        <w:t>psVs</w:t>
      </w:r>
      <w:proofErr w:type="spellEnd"/>
      <w:r w:rsidRPr="00E4003E">
        <w:rPr>
          <w:lang w:val="en-US"/>
        </w:rPr>
        <w:t xml:space="preserve">). In these assays were tested 10 plasma samples obtained from individuals with typical profile of progression to aids and 10 from long-term </w:t>
      </w:r>
      <w:proofErr w:type="gramStart"/>
      <w:r w:rsidRPr="00E4003E">
        <w:rPr>
          <w:lang w:val="en-US"/>
        </w:rPr>
        <w:t xml:space="preserve">non </w:t>
      </w:r>
      <w:proofErr w:type="spellStart"/>
      <w:r w:rsidRPr="00E4003E">
        <w:rPr>
          <w:lang w:val="en-US"/>
        </w:rPr>
        <w:t>progressors</w:t>
      </w:r>
      <w:proofErr w:type="spellEnd"/>
      <w:proofErr w:type="gramEnd"/>
      <w:r w:rsidRPr="00E4003E">
        <w:rPr>
          <w:lang w:val="en-US"/>
        </w:rPr>
        <w:t xml:space="preserve"> (LTNP). In the first analysis, we observed 44% of neutralizing antibody titers against </w:t>
      </w:r>
      <w:proofErr w:type="spellStart"/>
      <w:r w:rsidRPr="00E4003E">
        <w:rPr>
          <w:lang w:val="en-US"/>
        </w:rPr>
        <w:t>psVs</w:t>
      </w:r>
      <w:proofErr w:type="spellEnd"/>
      <w:r w:rsidRPr="00E4003E">
        <w:rPr>
          <w:lang w:val="en-US"/>
        </w:rPr>
        <w:t xml:space="preserve"> and 50% for HIV-1 IIIB. The plasma samples from </w:t>
      </w:r>
      <w:proofErr w:type="spellStart"/>
      <w:r w:rsidRPr="00E4003E">
        <w:rPr>
          <w:lang w:val="en-US"/>
        </w:rPr>
        <w:t>progressors</w:t>
      </w:r>
      <w:proofErr w:type="spellEnd"/>
      <w:r w:rsidRPr="00E4003E">
        <w:rPr>
          <w:lang w:val="en-US"/>
        </w:rPr>
        <w:t xml:space="preserve"> showed broad and potent neutralization. From these results, we noted the importance of continuous antigenic stimulus in inducing humoral response and their influence for viral factors. Thus, we evaluated the genetic and phenotypic characteristics HIV-1 </w:t>
      </w:r>
      <w:proofErr w:type="spellStart"/>
      <w:r w:rsidRPr="00E4003E">
        <w:rPr>
          <w:lang w:val="en-US"/>
        </w:rPr>
        <w:t>env</w:t>
      </w:r>
      <w:proofErr w:type="spellEnd"/>
      <w:r w:rsidRPr="00E4003E">
        <w:rPr>
          <w:lang w:val="en-US"/>
        </w:rPr>
        <w:t xml:space="preserve"> subtype-specific and associated them to the induction of neutralizing activity. For this purpose, we selected 60 plasma samples from individuals infected with HIV-1 subtypes prevalent in Brazil and perform neutralization assay with </w:t>
      </w:r>
      <w:proofErr w:type="spellStart"/>
      <w:r w:rsidRPr="00E4003E">
        <w:rPr>
          <w:lang w:val="en-US"/>
        </w:rPr>
        <w:t>psVs</w:t>
      </w:r>
      <w:proofErr w:type="spellEnd"/>
      <w:r w:rsidRPr="00E4003E">
        <w:rPr>
          <w:lang w:val="en-US"/>
        </w:rPr>
        <w:t xml:space="preserve"> (same HIV-1 subtype). We observed a greater breadth and potency of anti-</w:t>
      </w:r>
      <w:proofErr w:type="spellStart"/>
      <w:r w:rsidRPr="00E4003E">
        <w:rPr>
          <w:lang w:val="en-US"/>
        </w:rPr>
        <w:t>Env</w:t>
      </w:r>
      <w:proofErr w:type="spellEnd"/>
      <w:r w:rsidRPr="00E4003E">
        <w:rPr>
          <w:lang w:val="en-US"/>
        </w:rPr>
        <w:t xml:space="preserve"> neutralizing response in individuals infected with the F1 or B HIV-1 subtypes compared with the C subtype and variant B/</w:t>
      </w:r>
      <w:proofErr w:type="spellStart"/>
      <w:r w:rsidRPr="00E4003E">
        <w:rPr>
          <w:lang w:val="en-US"/>
        </w:rPr>
        <w:t>Bbr</w:t>
      </w:r>
      <w:proofErr w:type="spellEnd"/>
      <w:r w:rsidRPr="00E4003E">
        <w:rPr>
          <w:lang w:val="en-US"/>
        </w:rPr>
        <w:t>. We observed that the regions V1 from B/</w:t>
      </w:r>
      <w:proofErr w:type="spellStart"/>
      <w:r w:rsidRPr="00E4003E">
        <w:rPr>
          <w:lang w:val="en-US"/>
        </w:rPr>
        <w:t>Bbr</w:t>
      </w:r>
      <w:proofErr w:type="spellEnd"/>
      <w:r w:rsidRPr="00E4003E">
        <w:rPr>
          <w:lang w:val="en-US"/>
        </w:rPr>
        <w:t xml:space="preserve"> subtype had greater number of amino acids than the other subtypes and V4 region from F1 subtype had fewer amino acids (p &lt;0.005). We also observed that some subtype-specific signatures of F1 subtype and B/</w:t>
      </w:r>
      <w:proofErr w:type="spellStart"/>
      <w:r w:rsidRPr="00E4003E">
        <w:rPr>
          <w:lang w:val="en-US"/>
        </w:rPr>
        <w:t>Bbr</w:t>
      </w:r>
      <w:proofErr w:type="spellEnd"/>
      <w:r w:rsidRPr="00E4003E">
        <w:rPr>
          <w:lang w:val="en-US"/>
        </w:rPr>
        <w:t xml:space="preserve"> samples located in regions C2, V3 and gp41 may have influenced in the neutralizing response difference between them. These results indicate that a single amino acid substitution in the V3 loop may lead to a distinct conformational exposure or load, in association domain of trimer of gp120, and interfere with the neutralizing response potency and has a significant implication for the vaccine design.</w:t>
      </w:r>
    </w:p>
    <w:sectPr w:rsidR="00FB5B6F" w:rsidRPr="00E4003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B88"/>
    <w:rsid w:val="00291380"/>
    <w:rsid w:val="006365E4"/>
    <w:rsid w:val="00E4003E"/>
    <w:rsid w:val="00FB7B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BF86C7-B85B-4FEF-B86A-48FB2B018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Pages>
  <Words>442</Words>
  <Characters>2390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Dalziza de Almeida</dc:creator>
  <cp:keywords/>
  <dc:description/>
  <cp:lastModifiedBy>Dalziza de Almeida</cp:lastModifiedBy>
  <cp:revision>1</cp:revision>
  <dcterms:created xsi:type="dcterms:W3CDTF">2018-01-16T13:42:00Z</dcterms:created>
  <dcterms:modified xsi:type="dcterms:W3CDTF">2018-01-16T16:55:00Z</dcterms:modified>
</cp:coreProperties>
</file>