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642E" w:rsidRPr="00457F6E" w:rsidRDefault="00DD642E" w:rsidP="004331F9">
      <w:pPr>
        <w:spacing w:after="0" w:line="360" w:lineRule="auto"/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  <w:u w:val="single"/>
        </w:rPr>
      </w:pPr>
      <w:r w:rsidRPr="00457F6E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  <w:u w:val="single"/>
        </w:rPr>
        <w:t xml:space="preserve">Title page  </w:t>
      </w:r>
    </w:p>
    <w:p w:rsidR="00DD642E" w:rsidRPr="00457F6E" w:rsidRDefault="00DD642E" w:rsidP="004331F9">
      <w:pPr>
        <w:spacing w:after="0" w:line="360" w:lineRule="auto"/>
        <w:rPr>
          <w:rFonts w:asciiTheme="majorBidi" w:eastAsia="Times New Roman" w:hAnsiTheme="majorBidi" w:cstheme="majorBidi"/>
          <w:sz w:val="24"/>
          <w:szCs w:val="24"/>
        </w:rPr>
      </w:pPr>
    </w:p>
    <w:p w:rsidR="00CE3438" w:rsidRPr="00457F6E" w:rsidRDefault="00CE3438" w:rsidP="00814ED0">
      <w:pPr>
        <w:jc w:val="both"/>
        <w:rPr>
          <w:rFonts w:ascii="Times New Roman" w:eastAsia="Calibri" w:hAnsi="Times New Roman" w:cs="Times New Roman"/>
          <w:b/>
          <w:bCs/>
          <w:kern w:val="36"/>
          <w:sz w:val="28"/>
          <w:szCs w:val="28"/>
        </w:rPr>
      </w:pPr>
      <w:proofErr w:type="spellStart"/>
      <w:r w:rsidRPr="00457F6E">
        <w:rPr>
          <w:rFonts w:ascii="Times New Roman" w:eastAsia="Calibri" w:hAnsi="Times New Roman" w:cs="Times New Roman"/>
          <w:b/>
          <w:bCs/>
          <w:sz w:val="28"/>
          <w:szCs w:val="28"/>
        </w:rPr>
        <w:t>Sofosbuvir</w:t>
      </w:r>
      <w:proofErr w:type="spellEnd"/>
      <w:r w:rsidRPr="00457F6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and </w:t>
      </w:r>
      <w:proofErr w:type="spellStart"/>
      <w:r w:rsidRPr="00457F6E">
        <w:rPr>
          <w:rFonts w:ascii="Times New Roman" w:eastAsia="Calibri" w:hAnsi="Times New Roman" w:cs="Times New Roman"/>
          <w:b/>
          <w:bCs/>
          <w:sz w:val="28"/>
          <w:szCs w:val="28"/>
        </w:rPr>
        <w:t>Daclatasvir</w:t>
      </w:r>
      <w:proofErr w:type="spellEnd"/>
      <w:r w:rsidRPr="00457F6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814ED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Efficacy and Side Effects </w:t>
      </w:r>
      <w:r w:rsidRPr="00457F6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in Hepatitis C </w:t>
      </w:r>
      <w:bookmarkStart w:id="0" w:name="_GoBack"/>
      <w:bookmarkEnd w:id="0"/>
      <w:r w:rsidRPr="00457F6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Thalassemia Major Patients </w:t>
      </w:r>
    </w:p>
    <w:p w:rsidR="00DD642E" w:rsidRPr="00457F6E" w:rsidRDefault="00DD642E" w:rsidP="004331F9">
      <w:pPr>
        <w:tabs>
          <w:tab w:val="left" w:pos="7500"/>
        </w:tabs>
        <w:spacing w:after="0" w:line="360" w:lineRule="auto"/>
        <w:rPr>
          <w:rFonts w:asciiTheme="majorBidi" w:eastAsia="Times New Roman" w:hAnsiTheme="majorBidi" w:cstheme="majorBidi"/>
          <w:b/>
          <w:bCs/>
          <w:sz w:val="24"/>
          <w:szCs w:val="24"/>
          <w:rtl/>
        </w:rPr>
      </w:pPr>
      <w:r w:rsidRPr="00457F6E">
        <w:rPr>
          <w:rFonts w:asciiTheme="majorBidi" w:eastAsia="Times New Roman" w:hAnsiTheme="majorBidi" w:cstheme="majorBidi"/>
          <w:b/>
          <w:bCs/>
          <w:sz w:val="24"/>
          <w:szCs w:val="24"/>
        </w:rPr>
        <w:tab/>
      </w:r>
    </w:p>
    <w:p w:rsidR="00DD642E" w:rsidRPr="00457F6E" w:rsidRDefault="00DD642E" w:rsidP="00EB0F0E">
      <w:pPr>
        <w:spacing w:before="120" w:after="0" w:line="280" w:lineRule="atLeast"/>
        <w:jc w:val="both"/>
        <w:rPr>
          <w:rFonts w:asciiTheme="majorBidi" w:eastAsia="Times New Roman" w:hAnsiTheme="majorBidi" w:cstheme="majorBidi"/>
          <w:b/>
          <w:bCs/>
          <w:kern w:val="2"/>
          <w:sz w:val="24"/>
          <w:szCs w:val="24"/>
          <w:vertAlign w:val="superscript"/>
          <w:lang w:val="en-GB"/>
        </w:rPr>
      </w:pPr>
      <w:proofErr w:type="spellStart"/>
      <w:r w:rsidRPr="00457F6E">
        <w:rPr>
          <w:rFonts w:asciiTheme="majorBidi" w:eastAsia="Times New Roman" w:hAnsiTheme="majorBidi" w:cstheme="majorBidi"/>
          <w:b/>
          <w:bCs/>
          <w:sz w:val="24"/>
          <w:szCs w:val="24"/>
        </w:rPr>
        <w:t>Jamshid</w:t>
      </w:r>
      <w:proofErr w:type="spellEnd"/>
      <w:r w:rsidRPr="00457F6E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Vafaeimanesh</w:t>
      </w:r>
      <w:r w:rsidRPr="00457F6E">
        <w:rPr>
          <w:rFonts w:asciiTheme="majorBidi" w:eastAsia="Times New Roman" w:hAnsiTheme="majorBidi" w:cstheme="majorBidi"/>
          <w:b/>
          <w:bCs/>
          <w:sz w:val="24"/>
          <w:szCs w:val="24"/>
          <w:vertAlign w:val="superscript"/>
        </w:rPr>
        <w:t>1-2</w:t>
      </w:r>
      <w:r w:rsidRPr="00457F6E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457F6E">
        <w:rPr>
          <w:rFonts w:asciiTheme="majorBidi" w:eastAsia="Times New Roman" w:hAnsiTheme="majorBidi" w:cstheme="majorBidi"/>
          <w:b/>
          <w:bCs/>
          <w:sz w:val="24"/>
          <w:szCs w:val="24"/>
        </w:rPr>
        <w:t>Hossein</w:t>
      </w:r>
      <w:proofErr w:type="spellEnd"/>
      <w:r w:rsidRPr="00457F6E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Ajdarkosh</w:t>
      </w:r>
      <w:r w:rsidRPr="00457F6E">
        <w:rPr>
          <w:rFonts w:asciiTheme="majorBidi" w:eastAsia="Times New Roman" w:hAnsiTheme="majorBidi" w:cstheme="majorBidi"/>
          <w:b/>
          <w:bCs/>
          <w:sz w:val="24"/>
          <w:szCs w:val="24"/>
          <w:vertAlign w:val="superscript"/>
        </w:rPr>
        <w:t>1</w:t>
      </w:r>
      <w:r w:rsidRPr="00457F6E">
        <w:rPr>
          <w:rFonts w:asciiTheme="majorBidi" w:eastAsia="Times New Roman" w:hAnsiTheme="majorBidi" w:cstheme="majorBidi"/>
          <w:b/>
          <w:bCs/>
          <w:sz w:val="24"/>
          <w:szCs w:val="24"/>
        </w:rPr>
        <w:t>,</w:t>
      </w:r>
      <w:r w:rsidR="00EB0F0E" w:rsidRPr="00457F6E">
        <w:rPr>
          <w:rFonts w:asciiTheme="majorBidi" w:eastAsia="Times New Roman" w:hAnsiTheme="majorBidi" w:cstheme="majorBidi"/>
          <w:b/>
          <w:bCs/>
          <w:sz w:val="24"/>
          <w:szCs w:val="24"/>
          <w:lang w:val="en-GB"/>
        </w:rPr>
        <w:t xml:space="preserve"> </w:t>
      </w:r>
      <w:proofErr w:type="spellStart"/>
      <w:r w:rsidR="00EB0F0E" w:rsidRPr="00457F6E">
        <w:rPr>
          <w:rFonts w:asciiTheme="majorBidi" w:eastAsia="Times New Roman" w:hAnsiTheme="majorBidi" w:cstheme="majorBidi"/>
          <w:b/>
          <w:bCs/>
          <w:sz w:val="24"/>
          <w:szCs w:val="24"/>
          <w:lang w:val="en-GB"/>
        </w:rPr>
        <w:t>Fahimeh</w:t>
      </w:r>
      <w:proofErr w:type="spellEnd"/>
      <w:r w:rsidR="00EB0F0E" w:rsidRPr="00457F6E">
        <w:rPr>
          <w:rFonts w:asciiTheme="majorBidi" w:eastAsia="Times New Roman" w:hAnsiTheme="majorBidi" w:cstheme="majorBidi"/>
          <w:b/>
          <w:bCs/>
          <w:sz w:val="24"/>
          <w:szCs w:val="24"/>
          <w:lang w:val="en-GB"/>
        </w:rPr>
        <w:t xml:space="preserve"> </w:t>
      </w:r>
      <w:hyperlink r:id="rId5" w:history="1">
        <w:proofErr w:type="spellStart"/>
        <w:r w:rsidR="00EB0F0E" w:rsidRPr="00457F6E">
          <w:rPr>
            <w:rFonts w:asciiTheme="majorBidi" w:eastAsia="Times New Roman" w:hAnsiTheme="majorBidi" w:cstheme="majorBidi"/>
            <w:b/>
            <w:bCs/>
            <w:sz w:val="24"/>
            <w:szCs w:val="24"/>
            <w:lang w:val="en-GB"/>
          </w:rPr>
          <w:t>Safarnezhad</w:t>
        </w:r>
        <w:proofErr w:type="spellEnd"/>
        <w:r w:rsidR="00EB0F0E" w:rsidRPr="00457F6E">
          <w:rPr>
            <w:rFonts w:asciiTheme="majorBidi" w:eastAsia="Times New Roman" w:hAnsiTheme="majorBidi" w:cstheme="majorBidi"/>
            <w:b/>
            <w:bCs/>
            <w:sz w:val="24"/>
            <w:szCs w:val="24"/>
            <w:lang w:val="en-GB"/>
          </w:rPr>
          <w:t xml:space="preserve"> </w:t>
        </w:r>
        <w:proofErr w:type="spellStart"/>
        <w:r w:rsidR="00EB0F0E" w:rsidRPr="00457F6E">
          <w:rPr>
            <w:rFonts w:asciiTheme="majorBidi" w:eastAsia="Times New Roman" w:hAnsiTheme="majorBidi" w:cstheme="majorBidi"/>
            <w:b/>
            <w:bCs/>
            <w:sz w:val="24"/>
            <w:szCs w:val="24"/>
            <w:lang w:val="en-GB"/>
          </w:rPr>
          <w:t>Tameshke</w:t>
        </w:r>
        <w:r w:rsidR="00EB0F0E" w:rsidRPr="00457F6E">
          <w:rPr>
            <w:rFonts w:asciiTheme="majorBidi" w:eastAsia="Times New Roman" w:hAnsiTheme="majorBidi" w:cstheme="majorBidi"/>
            <w:b/>
            <w:bCs/>
            <w:sz w:val="24"/>
            <w:szCs w:val="24"/>
            <w:vertAlign w:val="superscript"/>
            <w:lang w:val="en-GB"/>
          </w:rPr>
          <w:t>l</w:t>
        </w:r>
        <w:proofErr w:type="spellEnd"/>
      </w:hyperlink>
      <w:r w:rsidR="00EB0F0E" w:rsidRPr="00457F6E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, </w:t>
      </w:r>
      <w:proofErr w:type="spellStart"/>
      <w:r w:rsidR="00EB0F0E" w:rsidRPr="00457F6E">
        <w:rPr>
          <w:rFonts w:asciiTheme="majorBidi" w:eastAsia="Times New Roman" w:hAnsiTheme="majorBidi" w:cstheme="majorBidi"/>
          <w:b/>
          <w:bCs/>
          <w:sz w:val="24"/>
          <w:szCs w:val="24"/>
          <w:lang w:val="en-GB"/>
        </w:rPr>
        <w:t>Azita</w:t>
      </w:r>
      <w:proofErr w:type="spellEnd"/>
      <w:r w:rsidR="00EB0F0E" w:rsidRPr="00457F6E">
        <w:rPr>
          <w:rFonts w:asciiTheme="majorBidi" w:eastAsia="Times New Roman" w:hAnsiTheme="majorBidi" w:cstheme="majorBidi"/>
          <w:b/>
          <w:bCs/>
          <w:sz w:val="24"/>
          <w:szCs w:val="24"/>
          <w:lang w:val="en-GB"/>
        </w:rPr>
        <w:t xml:space="preserve"> Azarkeivan</w:t>
      </w:r>
      <w:r w:rsidR="00EB0F0E" w:rsidRPr="00457F6E">
        <w:rPr>
          <w:rFonts w:asciiTheme="majorBidi" w:eastAsia="Times New Roman" w:hAnsiTheme="majorBidi" w:cstheme="majorBidi"/>
          <w:b/>
          <w:bCs/>
          <w:sz w:val="24"/>
          <w:szCs w:val="24"/>
          <w:vertAlign w:val="superscript"/>
          <w:lang w:val="en-GB"/>
        </w:rPr>
        <w:t>3</w:t>
      </w:r>
      <w:r w:rsidR="00EB0F0E" w:rsidRPr="00457F6E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457F6E">
        <w:rPr>
          <w:rFonts w:asciiTheme="majorBidi" w:eastAsia="Times New Roman" w:hAnsiTheme="majorBidi" w:cstheme="majorBidi"/>
          <w:b/>
          <w:bCs/>
          <w:sz w:val="24"/>
          <w:szCs w:val="24"/>
        </w:rPr>
        <w:t>Masoudreza</w:t>
      </w:r>
      <w:proofErr w:type="spellEnd"/>
      <w:r w:rsidRPr="00457F6E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</w:t>
      </w:r>
      <w:hyperlink r:id="rId6" w:history="1">
        <w:r w:rsidRPr="00457F6E">
          <w:rPr>
            <w:rFonts w:asciiTheme="majorBidi" w:eastAsia="Times New Roman" w:hAnsiTheme="majorBidi" w:cstheme="majorBidi"/>
            <w:b/>
            <w:bCs/>
            <w:sz w:val="24"/>
            <w:szCs w:val="24"/>
          </w:rPr>
          <w:t>Sohrabi</w:t>
        </w:r>
      </w:hyperlink>
      <w:r w:rsidRPr="00457F6E">
        <w:rPr>
          <w:rFonts w:asciiTheme="majorBidi" w:eastAsia="Times New Roman" w:hAnsiTheme="majorBidi" w:cstheme="majorBidi"/>
          <w:b/>
          <w:bCs/>
          <w:sz w:val="24"/>
          <w:szCs w:val="24"/>
          <w:vertAlign w:val="superscript"/>
        </w:rPr>
        <w:t>1</w:t>
      </w:r>
      <w:r w:rsidRPr="00457F6E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457F6E">
        <w:rPr>
          <w:rFonts w:asciiTheme="majorBidi" w:eastAsia="Times New Roman" w:hAnsiTheme="majorBidi" w:cstheme="majorBidi"/>
          <w:b/>
          <w:bCs/>
          <w:sz w:val="24"/>
          <w:szCs w:val="24"/>
        </w:rPr>
        <w:t>Sima</w:t>
      </w:r>
      <w:proofErr w:type="spellEnd"/>
      <w:r w:rsidRPr="00457F6E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Aten</w:t>
      </w:r>
      <w:r w:rsidRPr="00457F6E">
        <w:rPr>
          <w:rFonts w:asciiTheme="majorBidi" w:eastAsia="Times New Roman" w:hAnsiTheme="majorBidi" w:cstheme="majorBidi"/>
          <w:b/>
          <w:bCs/>
          <w:sz w:val="24"/>
          <w:szCs w:val="24"/>
          <w:vertAlign w:val="superscript"/>
        </w:rPr>
        <w:t>1</w:t>
      </w:r>
      <w:r w:rsidRPr="00457F6E">
        <w:rPr>
          <w:rFonts w:asciiTheme="majorBidi" w:eastAsia="Times New Roman" w:hAnsiTheme="majorBidi" w:cstheme="majorBidi"/>
          <w:b/>
          <w:bCs/>
          <w:sz w:val="24"/>
          <w:szCs w:val="24"/>
        </w:rPr>
        <w:t>,</w:t>
      </w:r>
      <w:r w:rsidR="00EB0F0E" w:rsidRPr="00457F6E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</w:t>
      </w:r>
      <w:proofErr w:type="spellStart"/>
      <w:r w:rsidR="00AD55D2" w:rsidRPr="00457F6E">
        <w:rPr>
          <w:rFonts w:asciiTheme="majorBidi" w:eastAsia="Times New Roman" w:hAnsiTheme="majorBidi" w:cstheme="majorBidi"/>
          <w:b/>
          <w:bCs/>
          <w:sz w:val="24"/>
          <w:szCs w:val="24"/>
        </w:rPr>
        <w:t>Mahmoodreza</w:t>
      </w:r>
      <w:proofErr w:type="spellEnd"/>
      <w:r w:rsidR="00AD55D2" w:rsidRPr="00457F6E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Khonsari</w:t>
      </w:r>
      <w:r w:rsidR="00AD55D2" w:rsidRPr="00457F6E">
        <w:rPr>
          <w:rFonts w:asciiTheme="majorBidi" w:eastAsia="Times New Roman" w:hAnsiTheme="majorBidi" w:cstheme="majorBidi"/>
          <w:b/>
          <w:bCs/>
          <w:sz w:val="24"/>
          <w:szCs w:val="24"/>
          <w:vertAlign w:val="superscript"/>
        </w:rPr>
        <w:t>1</w:t>
      </w:r>
      <w:r w:rsidR="00AD55D2" w:rsidRPr="00457F6E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, </w:t>
      </w:r>
      <w:proofErr w:type="spellStart"/>
      <w:r w:rsidR="00AD55D2" w:rsidRPr="00457F6E">
        <w:rPr>
          <w:rFonts w:asciiTheme="majorBidi" w:eastAsia="Times New Roman" w:hAnsiTheme="majorBidi" w:cstheme="majorBidi"/>
          <w:b/>
          <w:bCs/>
          <w:sz w:val="24"/>
          <w:szCs w:val="24"/>
        </w:rPr>
        <w:t>Amirhossein</w:t>
      </w:r>
      <w:proofErr w:type="spellEnd"/>
      <w:r w:rsidR="00AD55D2" w:rsidRPr="00457F6E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Faraji</w:t>
      </w:r>
      <w:r w:rsidR="00AD55D2" w:rsidRPr="00457F6E">
        <w:rPr>
          <w:rFonts w:asciiTheme="majorBidi" w:eastAsia="Times New Roman" w:hAnsiTheme="majorBidi" w:cstheme="majorBidi"/>
          <w:b/>
          <w:bCs/>
          <w:sz w:val="24"/>
          <w:szCs w:val="24"/>
          <w:vertAlign w:val="superscript"/>
        </w:rPr>
        <w:t>1</w:t>
      </w:r>
      <w:r w:rsidR="00AD55D2" w:rsidRPr="00457F6E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457F6E">
        <w:rPr>
          <w:rFonts w:asciiTheme="majorBidi" w:eastAsia="Times New Roman" w:hAnsiTheme="majorBidi" w:cstheme="majorBidi"/>
          <w:b/>
          <w:bCs/>
          <w:sz w:val="24"/>
          <w:szCs w:val="24"/>
        </w:rPr>
        <w:t>Farhad</w:t>
      </w:r>
      <w:proofErr w:type="spellEnd"/>
      <w:r w:rsidRPr="00457F6E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Zamani</w:t>
      </w:r>
      <w:r w:rsidRPr="00457F6E">
        <w:rPr>
          <w:rFonts w:asciiTheme="majorBidi" w:eastAsia="Times New Roman" w:hAnsiTheme="majorBidi" w:cstheme="majorBidi"/>
          <w:b/>
          <w:bCs/>
          <w:sz w:val="24"/>
          <w:szCs w:val="24"/>
          <w:vertAlign w:val="superscript"/>
        </w:rPr>
        <w:t>1</w:t>
      </w:r>
      <w:r w:rsidRPr="00457F6E">
        <w:rPr>
          <w:rFonts w:asciiTheme="majorBidi" w:eastAsia="Times New Roman" w:hAnsiTheme="majorBidi" w:cstheme="majorBidi"/>
          <w:b/>
          <w:bCs/>
          <w:sz w:val="24"/>
          <w:szCs w:val="24"/>
        </w:rPr>
        <w:t>*</w:t>
      </w:r>
      <w:r w:rsidR="00EB0F0E" w:rsidRPr="00457F6E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, </w:t>
      </w:r>
      <w:proofErr w:type="spellStart"/>
      <w:r w:rsidR="00EB0F0E" w:rsidRPr="00457F6E">
        <w:rPr>
          <w:rFonts w:asciiTheme="majorBidi" w:eastAsia="Times New Roman" w:hAnsiTheme="majorBidi" w:cstheme="majorBidi"/>
          <w:b/>
          <w:bCs/>
          <w:sz w:val="24"/>
          <w:szCs w:val="24"/>
          <w:lang w:val="en-GB"/>
        </w:rPr>
        <w:t>Hossein</w:t>
      </w:r>
      <w:proofErr w:type="spellEnd"/>
      <w:r w:rsidR="00EB0F0E" w:rsidRPr="00457F6E">
        <w:rPr>
          <w:rFonts w:asciiTheme="majorBidi" w:eastAsia="Times New Roman" w:hAnsiTheme="majorBidi" w:cstheme="majorBidi"/>
          <w:b/>
          <w:bCs/>
          <w:sz w:val="24"/>
          <w:szCs w:val="24"/>
          <w:lang w:val="en-GB"/>
        </w:rPr>
        <w:t xml:space="preserve"> keyvani</w:t>
      </w:r>
      <w:r w:rsidR="00EB0F0E" w:rsidRPr="00457F6E">
        <w:rPr>
          <w:rFonts w:asciiTheme="majorBidi" w:eastAsia="Times New Roman" w:hAnsiTheme="majorBidi" w:cstheme="majorBidi"/>
          <w:b/>
          <w:bCs/>
          <w:sz w:val="24"/>
          <w:szCs w:val="24"/>
          <w:vertAlign w:val="superscript"/>
          <w:lang w:val="en-GB"/>
        </w:rPr>
        <w:t>1</w:t>
      </w:r>
    </w:p>
    <w:p w:rsidR="00DD642E" w:rsidRPr="00457F6E" w:rsidRDefault="00DD642E" w:rsidP="004331F9">
      <w:pPr>
        <w:spacing w:after="0" w:line="360" w:lineRule="auto"/>
        <w:rPr>
          <w:rFonts w:asciiTheme="majorBidi" w:eastAsia="Times New Roman" w:hAnsiTheme="majorBidi" w:cstheme="majorBidi"/>
          <w:sz w:val="24"/>
          <w:szCs w:val="24"/>
        </w:rPr>
      </w:pPr>
    </w:p>
    <w:p w:rsidR="00DD642E" w:rsidRPr="00457F6E" w:rsidRDefault="00DD642E" w:rsidP="004331F9">
      <w:pPr>
        <w:pStyle w:val="ListParagraph"/>
        <w:numPr>
          <w:ilvl w:val="0"/>
          <w:numId w:val="1"/>
        </w:numPr>
        <w:bidi w:val="0"/>
        <w:spacing w:after="0" w:line="360" w:lineRule="auto"/>
        <w:rPr>
          <w:rFonts w:asciiTheme="majorBidi" w:eastAsia="Times New Roman" w:hAnsiTheme="majorBidi" w:cstheme="majorBidi"/>
        </w:rPr>
      </w:pPr>
      <w:r w:rsidRPr="00457F6E">
        <w:t>Gastrointestinal and Liver Disease Research Center, Iran University of Medical Sciences, Tehran, Iran.</w:t>
      </w:r>
    </w:p>
    <w:p w:rsidR="00DD642E" w:rsidRPr="00457F6E" w:rsidRDefault="00DD642E" w:rsidP="004331F9">
      <w:pPr>
        <w:pStyle w:val="ListParagraph"/>
        <w:numPr>
          <w:ilvl w:val="0"/>
          <w:numId w:val="1"/>
        </w:numPr>
        <w:bidi w:val="0"/>
        <w:spacing w:after="0" w:line="360" w:lineRule="auto"/>
        <w:rPr>
          <w:rFonts w:asciiTheme="majorBidi" w:eastAsia="Times New Roman" w:hAnsiTheme="majorBidi" w:cs="B Zar"/>
        </w:rPr>
      </w:pPr>
      <w:r w:rsidRPr="00457F6E">
        <w:rPr>
          <w:rFonts w:asciiTheme="majorBidi" w:eastAsia="Times New Roman" w:hAnsiTheme="majorBidi" w:cstheme="majorBidi"/>
        </w:rPr>
        <w:t xml:space="preserve">Gastroenterology and </w:t>
      </w:r>
      <w:proofErr w:type="spellStart"/>
      <w:r w:rsidRPr="00457F6E">
        <w:rPr>
          <w:rFonts w:asciiTheme="majorBidi" w:eastAsia="Times New Roman" w:hAnsiTheme="majorBidi" w:cstheme="majorBidi"/>
        </w:rPr>
        <w:t>hepatology</w:t>
      </w:r>
      <w:proofErr w:type="spellEnd"/>
      <w:r w:rsidRPr="00457F6E">
        <w:rPr>
          <w:rFonts w:asciiTheme="majorBidi" w:eastAsia="Times New Roman" w:hAnsiTheme="majorBidi" w:cstheme="majorBidi"/>
        </w:rPr>
        <w:t xml:space="preserve"> disease research center, Qom University of </w:t>
      </w:r>
      <w:r w:rsidRPr="00457F6E">
        <w:rPr>
          <w:rFonts w:asciiTheme="majorBidi" w:eastAsia="Times New Roman" w:hAnsiTheme="majorBidi" w:cs="B Zar"/>
        </w:rPr>
        <w:t xml:space="preserve">Medical </w:t>
      </w:r>
      <w:r w:rsidR="00EB0F0E" w:rsidRPr="00457F6E">
        <w:rPr>
          <w:rFonts w:asciiTheme="majorBidi" w:eastAsia="Times New Roman" w:hAnsiTheme="majorBidi" w:cs="B Zar"/>
        </w:rPr>
        <w:t>Sciences, Qom</w:t>
      </w:r>
      <w:r w:rsidRPr="00457F6E">
        <w:rPr>
          <w:rFonts w:asciiTheme="majorBidi" w:eastAsia="Times New Roman" w:hAnsiTheme="majorBidi" w:cs="B Zar"/>
        </w:rPr>
        <w:t>,</w:t>
      </w:r>
      <w:r w:rsidR="00EB0F0E" w:rsidRPr="00457F6E">
        <w:rPr>
          <w:rFonts w:asciiTheme="majorBidi" w:eastAsia="Times New Roman" w:hAnsiTheme="majorBidi" w:cs="B Zar"/>
        </w:rPr>
        <w:t xml:space="preserve"> </w:t>
      </w:r>
      <w:r w:rsidRPr="00457F6E">
        <w:rPr>
          <w:rFonts w:asciiTheme="majorBidi" w:eastAsia="Times New Roman" w:hAnsiTheme="majorBidi" w:cs="B Zar"/>
        </w:rPr>
        <w:t>Iran</w:t>
      </w:r>
      <w:r w:rsidR="00EB0F0E" w:rsidRPr="00457F6E">
        <w:rPr>
          <w:rFonts w:asciiTheme="majorBidi" w:eastAsia="Times New Roman" w:hAnsiTheme="majorBidi" w:cs="B Zar"/>
        </w:rPr>
        <w:t>.</w:t>
      </w:r>
    </w:p>
    <w:p w:rsidR="00DD642E" w:rsidRPr="00457F6E" w:rsidRDefault="008807A0" w:rsidP="008807A0">
      <w:pPr>
        <w:pStyle w:val="ListParagraph"/>
        <w:numPr>
          <w:ilvl w:val="0"/>
          <w:numId w:val="1"/>
        </w:numPr>
        <w:bidi w:val="0"/>
        <w:spacing w:after="0" w:line="360" w:lineRule="auto"/>
        <w:rPr>
          <w:rFonts w:asciiTheme="majorBidi" w:eastAsia="Times New Roman" w:hAnsiTheme="majorBidi" w:cs="B Zar"/>
        </w:rPr>
      </w:pPr>
      <w:r w:rsidRPr="00457F6E">
        <w:rPr>
          <w:rFonts w:asciiTheme="majorBidi" w:eastAsia="Times New Roman" w:hAnsiTheme="majorBidi" w:cs="B Zar"/>
        </w:rPr>
        <w:t>Transfusion Research center, High Institute for Research and Education in Transfusion Medicine, Department of Thalassemia Clinic, Tehran, Iran.</w:t>
      </w:r>
    </w:p>
    <w:p w:rsidR="00B63432" w:rsidRPr="00457F6E" w:rsidRDefault="00B63432" w:rsidP="00EB0F0E">
      <w:pPr>
        <w:spacing w:before="100" w:beforeAutospacing="1" w:after="100" w:afterAutospacing="1" w:line="360" w:lineRule="auto"/>
        <w:outlineLvl w:val="0"/>
      </w:pPr>
    </w:p>
    <w:p w:rsidR="00B63432" w:rsidRPr="00457F6E" w:rsidRDefault="00B63432" w:rsidP="00EB0F0E">
      <w:pPr>
        <w:spacing w:before="100" w:beforeAutospacing="1" w:after="100" w:afterAutospacing="1" w:line="360" w:lineRule="auto"/>
        <w:outlineLvl w:val="0"/>
      </w:pPr>
      <w:r w:rsidRPr="00457F6E">
        <w:rPr>
          <w:rFonts w:asciiTheme="majorBidi" w:eastAsia="Times New Roman" w:hAnsiTheme="majorBidi" w:cstheme="majorBidi"/>
          <w:b/>
          <w:bCs/>
          <w:sz w:val="24"/>
          <w:szCs w:val="24"/>
          <w:lang w:val="en-GB"/>
        </w:rPr>
        <w:t xml:space="preserve">Present: </w:t>
      </w:r>
      <w:proofErr w:type="spellStart"/>
      <w:r w:rsidRPr="00457F6E">
        <w:rPr>
          <w:rFonts w:asciiTheme="majorBidi" w:eastAsia="Times New Roman" w:hAnsiTheme="majorBidi" w:cstheme="majorBidi"/>
          <w:b/>
          <w:bCs/>
          <w:sz w:val="24"/>
          <w:szCs w:val="24"/>
          <w:lang w:val="en-GB"/>
        </w:rPr>
        <w:t>Fahimeh</w:t>
      </w:r>
      <w:proofErr w:type="spellEnd"/>
      <w:r w:rsidRPr="00457F6E">
        <w:rPr>
          <w:rFonts w:asciiTheme="majorBidi" w:eastAsia="Times New Roman" w:hAnsiTheme="majorBidi" w:cstheme="majorBidi"/>
          <w:b/>
          <w:bCs/>
          <w:sz w:val="24"/>
          <w:szCs w:val="24"/>
          <w:lang w:val="en-GB"/>
        </w:rPr>
        <w:t xml:space="preserve"> </w:t>
      </w:r>
      <w:hyperlink r:id="rId7" w:history="1">
        <w:proofErr w:type="spellStart"/>
        <w:r w:rsidRPr="00457F6E">
          <w:rPr>
            <w:rFonts w:asciiTheme="majorBidi" w:eastAsia="Times New Roman" w:hAnsiTheme="majorBidi" w:cstheme="majorBidi"/>
            <w:b/>
            <w:bCs/>
            <w:sz w:val="24"/>
            <w:szCs w:val="24"/>
            <w:lang w:val="en-GB"/>
          </w:rPr>
          <w:t>Safarnezhad</w:t>
        </w:r>
        <w:proofErr w:type="spellEnd"/>
        <w:r w:rsidRPr="00457F6E">
          <w:rPr>
            <w:rFonts w:asciiTheme="majorBidi" w:eastAsia="Times New Roman" w:hAnsiTheme="majorBidi" w:cstheme="majorBidi"/>
            <w:b/>
            <w:bCs/>
            <w:sz w:val="24"/>
            <w:szCs w:val="24"/>
            <w:lang w:val="en-GB"/>
          </w:rPr>
          <w:t xml:space="preserve"> </w:t>
        </w:r>
        <w:proofErr w:type="spellStart"/>
        <w:r w:rsidRPr="00457F6E">
          <w:rPr>
            <w:rFonts w:asciiTheme="majorBidi" w:eastAsia="Times New Roman" w:hAnsiTheme="majorBidi" w:cstheme="majorBidi"/>
            <w:b/>
            <w:bCs/>
            <w:sz w:val="24"/>
            <w:szCs w:val="24"/>
            <w:lang w:val="en-GB"/>
          </w:rPr>
          <w:t>Tameshke</w:t>
        </w:r>
        <w:r w:rsidRPr="00457F6E">
          <w:rPr>
            <w:rFonts w:asciiTheme="majorBidi" w:eastAsia="Times New Roman" w:hAnsiTheme="majorBidi" w:cstheme="majorBidi"/>
            <w:b/>
            <w:bCs/>
            <w:sz w:val="24"/>
            <w:szCs w:val="24"/>
            <w:vertAlign w:val="superscript"/>
            <w:lang w:val="en-GB"/>
          </w:rPr>
          <w:t>l</w:t>
        </w:r>
        <w:proofErr w:type="spellEnd"/>
      </w:hyperlink>
    </w:p>
    <w:p w:rsidR="00DD642E" w:rsidRPr="00457F6E" w:rsidRDefault="00DD642E" w:rsidP="00EB0F0E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B Zar"/>
          <w:b/>
          <w:bCs/>
          <w:kern w:val="36"/>
        </w:rPr>
      </w:pPr>
      <w:r w:rsidRPr="00457F6E">
        <w:t>Registry of Clinical Trials: reg. No. IRCT2017052426097N2</w:t>
      </w:r>
    </w:p>
    <w:p w:rsidR="00B96664" w:rsidRPr="00457F6E" w:rsidRDefault="00AC530D" w:rsidP="004331F9">
      <w:pPr>
        <w:spacing w:line="360" w:lineRule="auto"/>
        <w:rPr>
          <w:sz w:val="24"/>
          <w:szCs w:val="24"/>
        </w:rPr>
      </w:pPr>
      <w:r w:rsidRPr="00457F6E">
        <w:rPr>
          <w:sz w:val="24"/>
          <w:szCs w:val="24"/>
        </w:rPr>
        <w:t>Running title: HCV DAA treatment in thalassemia</w:t>
      </w:r>
    </w:p>
    <w:p w:rsidR="00457F6E" w:rsidRPr="00457F6E" w:rsidRDefault="00457F6E" w:rsidP="004331F9">
      <w:pPr>
        <w:spacing w:line="360" w:lineRule="auto"/>
        <w:rPr>
          <w:sz w:val="24"/>
          <w:szCs w:val="24"/>
        </w:rPr>
      </w:pPr>
    </w:p>
    <w:p w:rsidR="00457F6E" w:rsidRPr="00457F6E" w:rsidRDefault="00457F6E" w:rsidP="004331F9">
      <w:pPr>
        <w:spacing w:line="360" w:lineRule="auto"/>
        <w:rPr>
          <w:sz w:val="24"/>
          <w:szCs w:val="24"/>
        </w:rPr>
      </w:pPr>
    </w:p>
    <w:p w:rsidR="00457F6E" w:rsidRPr="00457F6E" w:rsidRDefault="00457F6E" w:rsidP="004331F9">
      <w:pPr>
        <w:spacing w:line="360" w:lineRule="auto"/>
        <w:rPr>
          <w:sz w:val="24"/>
          <w:szCs w:val="24"/>
        </w:rPr>
      </w:pPr>
    </w:p>
    <w:p w:rsidR="00457F6E" w:rsidRPr="00457F6E" w:rsidRDefault="00457F6E" w:rsidP="004331F9">
      <w:pPr>
        <w:spacing w:line="360" w:lineRule="auto"/>
        <w:rPr>
          <w:sz w:val="24"/>
          <w:szCs w:val="24"/>
        </w:rPr>
      </w:pPr>
    </w:p>
    <w:p w:rsidR="00457F6E" w:rsidRPr="00457F6E" w:rsidRDefault="00457F6E" w:rsidP="004331F9">
      <w:pPr>
        <w:spacing w:line="360" w:lineRule="auto"/>
        <w:rPr>
          <w:sz w:val="24"/>
          <w:szCs w:val="24"/>
        </w:rPr>
      </w:pPr>
    </w:p>
    <w:p w:rsidR="00457F6E" w:rsidRPr="00457F6E" w:rsidRDefault="00457F6E" w:rsidP="004331F9">
      <w:pPr>
        <w:spacing w:line="360" w:lineRule="auto"/>
        <w:rPr>
          <w:sz w:val="24"/>
          <w:szCs w:val="24"/>
        </w:rPr>
      </w:pPr>
    </w:p>
    <w:p w:rsidR="00457F6E" w:rsidRPr="00457F6E" w:rsidRDefault="00457F6E" w:rsidP="00457F6E">
      <w:pPr>
        <w:jc w:val="both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 w:rsidRPr="00457F6E">
        <w:rPr>
          <w:rFonts w:ascii="Times New Roman" w:hAnsi="Times New Roman" w:cs="Times New Roman"/>
          <w:b/>
          <w:bCs/>
          <w:kern w:val="36"/>
          <w:sz w:val="24"/>
          <w:szCs w:val="24"/>
        </w:rPr>
        <w:lastRenderedPageBreak/>
        <w:t xml:space="preserve">Abstract </w:t>
      </w:r>
    </w:p>
    <w:p w:rsidR="00457F6E" w:rsidRPr="00457F6E" w:rsidRDefault="00457F6E" w:rsidP="00457F6E">
      <w:pPr>
        <w:jc w:val="both"/>
        <w:rPr>
          <w:rFonts w:ascii="Times New Roman" w:hAnsi="Times New Roman" w:cs="Times New Roman"/>
          <w:sz w:val="24"/>
          <w:szCs w:val="24"/>
        </w:rPr>
      </w:pPr>
      <w:r w:rsidRPr="00457F6E">
        <w:rPr>
          <w:rStyle w:val="Strong"/>
          <w:rFonts w:ascii="Times New Roman" w:hAnsi="Times New Roman" w:cs="Times New Roman"/>
          <w:sz w:val="24"/>
          <w:szCs w:val="24"/>
        </w:rPr>
        <w:t>Background:</w:t>
      </w:r>
      <w:r w:rsidRPr="00457F6E">
        <w:rPr>
          <w:rFonts w:ascii="Times New Roman" w:hAnsi="Times New Roman" w:cs="Times New Roman"/>
          <w:sz w:val="24"/>
          <w:szCs w:val="24"/>
        </w:rPr>
        <w:t xml:space="preserve"> Patients with congenital anemia such as thalassemia are at risk of hepatitis C virus (HCV) infection due to repeated blood transfusions; however, treatment of patients with thalassemia and HCV infection has generated a lot of controversies. </w:t>
      </w:r>
    </w:p>
    <w:p w:rsidR="00457F6E" w:rsidRPr="00457F6E" w:rsidRDefault="00457F6E" w:rsidP="00457F6E">
      <w:pPr>
        <w:jc w:val="both"/>
        <w:rPr>
          <w:rFonts w:ascii="Times New Roman" w:hAnsi="Times New Roman" w:cs="Times New Roman"/>
          <w:kern w:val="36"/>
          <w:sz w:val="24"/>
          <w:szCs w:val="24"/>
        </w:rPr>
      </w:pPr>
      <w:r w:rsidRPr="00457F6E">
        <w:rPr>
          <w:rFonts w:ascii="Times New Roman" w:hAnsi="Times New Roman" w:cs="Times New Roman"/>
          <w:b/>
          <w:bCs/>
          <w:sz w:val="24"/>
          <w:szCs w:val="24"/>
        </w:rPr>
        <w:t>Objectives</w:t>
      </w:r>
      <w:r w:rsidRPr="00457F6E">
        <w:rPr>
          <w:rFonts w:ascii="Times New Roman" w:hAnsi="Times New Roman" w:cs="Times New Roman"/>
          <w:sz w:val="24"/>
          <w:szCs w:val="24"/>
        </w:rPr>
        <w:t xml:space="preserve">: To determine the efficacy and side effects of </w:t>
      </w:r>
      <w:proofErr w:type="spellStart"/>
      <w:r w:rsidRPr="00457F6E">
        <w:rPr>
          <w:rFonts w:ascii="Times New Roman" w:hAnsi="Times New Roman" w:cs="Times New Roman"/>
          <w:sz w:val="24"/>
          <w:szCs w:val="24"/>
        </w:rPr>
        <w:t>Sofosbuvir</w:t>
      </w:r>
      <w:proofErr w:type="spellEnd"/>
      <w:r w:rsidRPr="00457F6E">
        <w:rPr>
          <w:rFonts w:ascii="Times New Roman" w:hAnsi="Times New Roman" w:cs="Times New Roman"/>
          <w:sz w:val="24"/>
          <w:szCs w:val="24"/>
        </w:rPr>
        <w:t xml:space="preserve"> (SOF) and </w:t>
      </w:r>
      <w:proofErr w:type="spellStart"/>
      <w:r w:rsidRPr="00457F6E">
        <w:rPr>
          <w:rFonts w:ascii="Times New Roman" w:hAnsi="Times New Roman" w:cs="Times New Roman"/>
          <w:sz w:val="24"/>
          <w:szCs w:val="24"/>
        </w:rPr>
        <w:t>Daclatasvir</w:t>
      </w:r>
      <w:proofErr w:type="spellEnd"/>
      <w:r w:rsidRPr="00457F6E">
        <w:rPr>
          <w:rFonts w:ascii="Times New Roman" w:hAnsi="Times New Roman" w:cs="Times New Roman"/>
          <w:sz w:val="24"/>
          <w:szCs w:val="24"/>
        </w:rPr>
        <w:t xml:space="preserve"> (DAC) in the treatment of hepatitis C in patients with thalassemia who are on interferon-based diet.</w:t>
      </w:r>
    </w:p>
    <w:p w:rsidR="00457F6E" w:rsidRPr="00457F6E" w:rsidRDefault="00457F6E" w:rsidP="00457F6E">
      <w:pPr>
        <w:jc w:val="both"/>
        <w:rPr>
          <w:rFonts w:ascii="Times New Roman" w:hAnsi="Times New Roman" w:cs="Times New Roman"/>
          <w:sz w:val="24"/>
          <w:szCs w:val="24"/>
          <w:lang w:bidi="fa-IR"/>
        </w:rPr>
      </w:pPr>
      <w:r w:rsidRPr="00457F6E">
        <w:rPr>
          <w:rStyle w:val="Strong"/>
          <w:rFonts w:ascii="Times New Roman" w:hAnsi="Times New Roman" w:cs="Times New Roman"/>
          <w:sz w:val="24"/>
          <w:szCs w:val="24"/>
        </w:rPr>
        <w:t>Methods:</w:t>
      </w:r>
      <w:r w:rsidRPr="00457F6E">
        <w:rPr>
          <w:rFonts w:ascii="Times New Roman" w:hAnsi="Times New Roman" w:cs="Times New Roman"/>
          <w:sz w:val="24"/>
          <w:szCs w:val="24"/>
          <w:lang w:bidi="fa-IR"/>
        </w:rPr>
        <w:t xml:space="preserve"> In the current study, a total of 61 patients with  thalassemia and HCV infection; and who had a  history of interferon (IFN) treatment failure were enrolled in this study. The patients were subjected to a 24 weeks treatment course with SOF 400 mg/day plus </w:t>
      </w:r>
      <w:r w:rsidRPr="00457F6E">
        <w:rPr>
          <w:rFonts w:ascii="Times New Roman" w:hAnsi="Times New Roman" w:cs="Times New Roman"/>
          <w:sz w:val="24"/>
          <w:szCs w:val="24"/>
        </w:rPr>
        <w:t>DAC 60 mg/day (</w:t>
      </w:r>
      <w:proofErr w:type="spellStart"/>
      <w:r w:rsidRPr="00457F6E">
        <w:rPr>
          <w:rFonts w:ascii="Times New Roman" w:hAnsi="Times New Roman" w:cs="Times New Roman"/>
          <w:sz w:val="24"/>
          <w:szCs w:val="24"/>
        </w:rPr>
        <w:t>Bakhtar</w:t>
      </w:r>
      <w:proofErr w:type="spellEnd"/>
      <w:r w:rsidRPr="00457F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F6E">
        <w:rPr>
          <w:rFonts w:ascii="Times New Roman" w:hAnsi="Times New Roman" w:cs="Times New Roman"/>
          <w:sz w:val="24"/>
          <w:szCs w:val="24"/>
        </w:rPr>
        <w:t>Bioshimi</w:t>
      </w:r>
      <w:proofErr w:type="spellEnd"/>
      <w:r w:rsidRPr="00457F6E">
        <w:rPr>
          <w:rFonts w:ascii="Times New Roman" w:hAnsi="Times New Roman" w:cs="Times New Roman"/>
          <w:sz w:val="24"/>
          <w:szCs w:val="24"/>
        </w:rPr>
        <w:t xml:space="preserve"> Co (</w:t>
      </w:r>
      <w:proofErr w:type="spellStart"/>
      <w:r w:rsidRPr="00457F6E">
        <w:rPr>
          <w:rFonts w:ascii="Times New Roman" w:hAnsi="Times New Roman" w:cs="Times New Roman"/>
          <w:sz w:val="24"/>
          <w:szCs w:val="24"/>
        </w:rPr>
        <w:t>BBpharmaco</w:t>
      </w:r>
      <w:proofErr w:type="spellEnd"/>
      <w:r w:rsidRPr="00457F6E">
        <w:rPr>
          <w:rFonts w:ascii="Times New Roman" w:hAnsi="Times New Roman" w:cs="Times New Roman"/>
          <w:sz w:val="24"/>
          <w:szCs w:val="24"/>
        </w:rPr>
        <w:t xml:space="preserve">), Iran). </w:t>
      </w:r>
    </w:p>
    <w:p w:rsidR="00457F6E" w:rsidRPr="00457F6E" w:rsidRDefault="00457F6E" w:rsidP="00457F6E">
      <w:pPr>
        <w:jc w:val="both"/>
        <w:rPr>
          <w:rFonts w:ascii="Times New Roman" w:hAnsi="Times New Roman" w:cs="Times New Roman"/>
          <w:sz w:val="24"/>
          <w:szCs w:val="24"/>
          <w:lang w:bidi="fa-IR"/>
        </w:rPr>
      </w:pPr>
      <w:r w:rsidRPr="00457F6E">
        <w:rPr>
          <w:rStyle w:val="Strong"/>
          <w:rFonts w:ascii="Times New Roman" w:hAnsi="Times New Roman" w:cs="Times New Roman"/>
          <w:sz w:val="24"/>
          <w:szCs w:val="24"/>
        </w:rPr>
        <w:t>Results:</w:t>
      </w:r>
      <w:r w:rsidRPr="00457F6E">
        <w:rPr>
          <w:rFonts w:ascii="Times New Roman" w:hAnsi="Times New Roman" w:cs="Times New Roman"/>
          <w:sz w:val="24"/>
          <w:szCs w:val="24"/>
          <w:lang w:bidi="fa-IR"/>
        </w:rPr>
        <w:t xml:space="preserve"> In the current study, 98.4% of the subjects responded to treatment except 1 patient who had genotype 1b. No significant complication that precipitated the cessation of treatment was observed and all subjects responded well to the treatment. There was a significant reduction in the level of liver enzymes 12 weeks after the treatment.</w:t>
      </w:r>
    </w:p>
    <w:p w:rsidR="00457F6E" w:rsidRPr="00457F6E" w:rsidRDefault="00457F6E" w:rsidP="00457F6E">
      <w:pPr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lang w:bidi="fa-IR"/>
        </w:rPr>
      </w:pPr>
      <w:r w:rsidRPr="00457F6E">
        <w:rPr>
          <w:rStyle w:val="Strong"/>
          <w:rFonts w:ascii="Times New Roman" w:hAnsi="Times New Roman" w:cs="Times New Roman"/>
          <w:sz w:val="24"/>
          <w:szCs w:val="24"/>
        </w:rPr>
        <w:t>Conclusion</w:t>
      </w:r>
      <w:r w:rsidRPr="00457F6E">
        <w:rPr>
          <w:rFonts w:ascii="Times New Roman" w:hAnsi="Times New Roman" w:cs="Times New Roman"/>
          <w:sz w:val="24"/>
          <w:szCs w:val="24"/>
          <w:lang w:bidi="fa-IR"/>
        </w:rPr>
        <w:t xml:space="preserve">: Combination of SOF and </w:t>
      </w:r>
      <w:proofErr w:type="spellStart"/>
      <w:r w:rsidRPr="00457F6E">
        <w:rPr>
          <w:rFonts w:ascii="Times New Roman" w:hAnsi="Times New Roman" w:cs="Times New Roman"/>
          <w:sz w:val="24"/>
          <w:szCs w:val="24"/>
          <w:lang w:bidi="fa-IR"/>
        </w:rPr>
        <w:t>Daclatasvir</w:t>
      </w:r>
      <w:proofErr w:type="spellEnd"/>
      <w:r w:rsidRPr="00457F6E">
        <w:rPr>
          <w:rFonts w:ascii="Times New Roman" w:hAnsi="Times New Roman" w:cs="Times New Roman"/>
          <w:sz w:val="24"/>
          <w:szCs w:val="24"/>
          <w:lang w:bidi="fa-IR"/>
        </w:rPr>
        <w:t xml:space="preserve"> is an efficacious and tolerable treatment regimen with </w:t>
      </w:r>
      <w:r w:rsidRPr="00457F6E">
        <w:rPr>
          <w:rStyle w:val="shorttext"/>
          <w:rFonts w:ascii="Times New Roman" w:hAnsi="Times New Roman" w:cs="Times New Roman"/>
          <w:sz w:val="24"/>
          <w:szCs w:val="24"/>
        </w:rPr>
        <w:t>negligible</w:t>
      </w:r>
      <w:r w:rsidRPr="00457F6E">
        <w:rPr>
          <w:rFonts w:ascii="Times New Roman" w:hAnsi="Times New Roman" w:cs="Times New Roman"/>
          <w:sz w:val="24"/>
          <w:szCs w:val="24"/>
          <w:lang w:bidi="fa-IR"/>
        </w:rPr>
        <w:t xml:space="preserve"> side effects for patients with thalassemia major and HCV infection.</w:t>
      </w:r>
    </w:p>
    <w:p w:rsidR="00457F6E" w:rsidRPr="00457F6E" w:rsidRDefault="00457F6E" w:rsidP="00457F6E">
      <w:pPr>
        <w:jc w:val="both"/>
        <w:rPr>
          <w:rFonts w:ascii="Times New Roman" w:hAnsi="Times New Roman" w:cs="Times New Roman"/>
          <w:sz w:val="24"/>
          <w:szCs w:val="24"/>
        </w:rPr>
      </w:pPr>
      <w:r w:rsidRPr="00457F6E">
        <w:rPr>
          <w:rFonts w:ascii="Times New Roman" w:hAnsi="Times New Roman" w:cs="Times New Roman"/>
          <w:b/>
          <w:bCs/>
          <w:sz w:val="24"/>
          <w:szCs w:val="24"/>
        </w:rPr>
        <w:t>Key worlds</w:t>
      </w:r>
      <w:r w:rsidRPr="00457F6E">
        <w:rPr>
          <w:rFonts w:ascii="Times New Roman" w:hAnsi="Times New Roman" w:cs="Times New Roman"/>
          <w:sz w:val="24"/>
          <w:szCs w:val="24"/>
        </w:rPr>
        <w:t xml:space="preserve">: Hepatitis C; Thalassemia major; Treatment; </w:t>
      </w:r>
      <w:proofErr w:type="spellStart"/>
      <w:r w:rsidRPr="00457F6E">
        <w:rPr>
          <w:rFonts w:ascii="Times New Roman" w:hAnsi="Times New Roman" w:cs="Times New Roman"/>
          <w:sz w:val="24"/>
          <w:szCs w:val="24"/>
        </w:rPr>
        <w:t>Sofosbuvir</w:t>
      </w:r>
      <w:proofErr w:type="spellEnd"/>
      <w:r w:rsidRPr="00457F6E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457F6E">
        <w:rPr>
          <w:rFonts w:ascii="Times New Roman" w:hAnsi="Times New Roman" w:cs="Times New Roman"/>
          <w:sz w:val="24"/>
          <w:szCs w:val="24"/>
        </w:rPr>
        <w:t>Daclatasvir</w:t>
      </w:r>
      <w:proofErr w:type="spellEnd"/>
      <w:r w:rsidRPr="00457F6E">
        <w:rPr>
          <w:rFonts w:ascii="Times New Roman" w:hAnsi="Times New Roman" w:cs="Times New Roman"/>
          <w:sz w:val="24"/>
          <w:szCs w:val="24"/>
        </w:rPr>
        <w:t>.</w:t>
      </w:r>
    </w:p>
    <w:p w:rsidR="00457F6E" w:rsidRPr="00457F6E" w:rsidRDefault="00457F6E" w:rsidP="004331F9">
      <w:pPr>
        <w:spacing w:line="360" w:lineRule="auto"/>
        <w:rPr>
          <w:sz w:val="24"/>
          <w:szCs w:val="24"/>
        </w:rPr>
      </w:pPr>
    </w:p>
    <w:sectPr w:rsidR="00457F6E" w:rsidRPr="00457F6E" w:rsidSect="008517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9D1080"/>
    <w:multiLevelType w:val="hybridMultilevel"/>
    <w:tmpl w:val="062411A6"/>
    <w:lvl w:ilvl="0" w:tplc="5A9A42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0FC"/>
    <w:rsid w:val="0003308C"/>
    <w:rsid w:val="00331F53"/>
    <w:rsid w:val="00367189"/>
    <w:rsid w:val="004331F9"/>
    <w:rsid w:val="004351BF"/>
    <w:rsid w:val="00457F6E"/>
    <w:rsid w:val="005E70FC"/>
    <w:rsid w:val="00814ED0"/>
    <w:rsid w:val="008517A4"/>
    <w:rsid w:val="008807A0"/>
    <w:rsid w:val="00AC530D"/>
    <w:rsid w:val="00AD55D2"/>
    <w:rsid w:val="00B63432"/>
    <w:rsid w:val="00B96664"/>
    <w:rsid w:val="00CE3438"/>
    <w:rsid w:val="00DD642E"/>
    <w:rsid w:val="00EB0F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680E207-11EC-4F09-9DD1-D085DA894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642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642E"/>
    <w:pPr>
      <w:bidi/>
      <w:ind w:left="720"/>
      <w:contextualSpacing/>
    </w:pPr>
    <w:rPr>
      <w:lang w:bidi="fa-IR"/>
    </w:rPr>
  </w:style>
  <w:style w:type="character" w:styleId="Strong">
    <w:name w:val="Strong"/>
    <w:uiPriority w:val="22"/>
    <w:qFormat/>
    <w:rsid w:val="00457F6E"/>
    <w:rPr>
      <w:b/>
      <w:bCs/>
    </w:rPr>
  </w:style>
  <w:style w:type="character" w:customStyle="1" w:styleId="shorttext">
    <w:name w:val="short_text"/>
    <w:basedOn w:val="DefaultParagraphFont"/>
    <w:rsid w:val="00457F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pubmed/?term=Safarnezhad%20Tameshkel%20F%5BAuthor%5D&amp;cauthor=true&amp;cauthor_uid=2885593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cbi.nlm.nih.gov/pubmed/?term=Sohrabi%20MR%5BAuthor%5D&amp;cauthor=true&amp;cauthor_uid=28855933" TargetMode="External"/><Relationship Id="rId5" Type="http://schemas.openxmlformats.org/officeDocument/2006/relationships/hyperlink" Target="https://www.ncbi.nlm.nih.gov/pubmed/?term=Safarnezhad%20Tameshkel%20F%5BAuthor%5D&amp;cauthor=true&amp;cauthor_uid=2885593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Asal</dc:creator>
  <cp:keywords/>
  <dc:description/>
  <cp:lastModifiedBy>Asal</cp:lastModifiedBy>
  <cp:revision>5</cp:revision>
  <dcterms:created xsi:type="dcterms:W3CDTF">2019-06-28T08:16:00Z</dcterms:created>
  <dcterms:modified xsi:type="dcterms:W3CDTF">2019-06-28T08:22:00Z</dcterms:modified>
</cp:coreProperties>
</file>