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D50AB" w:rsidP="00494130">
      <w:pPr>
        <w:pStyle w:val="1"/>
        <w:spacing w:before="170"/>
        <w:ind w:left="0"/>
      </w:pPr>
      <w:proofErr w:type="spellStart"/>
      <w:r w:rsidRPr="000D50AB">
        <w:rPr>
          <w:color w:val="337AB7"/>
        </w:rPr>
        <w:t>Bioelectromagnetics</w:t>
      </w:r>
      <w:proofErr w:type="spellEnd"/>
      <w:r w:rsidRPr="000D50AB">
        <w:rPr>
          <w:color w:val="337AB7"/>
        </w:rPr>
        <w:t>: An Overview of the Field with a Focus Protein Electrodynamics &amp; Terahertz Medicine</w:t>
      </w:r>
    </w:p>
    <w:p w:rsidR="005973B9" w:rsidRPr="000D50AB" w:rsidRDefault="000D50AB" w:rsidP="005973B9">
      <w:pPr>
        <w:pStyle w:val="a3"/>
        <w:spacing w:before="73" w:line="198" w:lineRule="exact"/>
        <w:ind w:left="100" w:right="5987"/>
        <w:rPr>
          <w:rFonts w:ascii="Arial" w:eastAsiaTheme="minorEastAsia" w:hint="eastAsia"/>
          <w:lang w:eastAsia="ko-KR"/>
        </w:rPr>
      </w:pPr>
      <w:proofErr w:type="spellStart"/>
      <w:r>
        <w:rPr>
          <w:rFonts w:ascii="Arial" w:hint="eastAsia"/>
        </w:rPr>
        <w:t>Ogan</w:t>
      </w:r>
      <w:proofErr w:type="spellEnd"/>
      <w:r>
        <w:rPr>
          <w:rFonts w:ascii="Arial" w:eastAsiaTheme="minorEastAsia" w:hint="eastAsia"/>
          <w:lang w:eastAsia="ko-KR"/>
        </w:rPr>
        <w:t xml:space="preserve"> </w:t>
      </w:r>
      <w:proofErr w:type="spellStart"/>
      <w:r>
        <w:rPr>
          <w:rFonts w:ascii="Arial" w:eastAsiaTheme="minorEastAsia" w:hint="eastAsia"/>
          <w:lang w:eastAsia="ko-KR"/>
        </w:rPr>
        <w:t>Gurel</w:t>
      </w:r>
      <w:proofErr w:type="spellEnd"/>
      <w:r>
        <w:rPr>
          <w:rFonts w:ascii="Arial" w:eastAsiaTheme="minorEastAsia" w:hint="eastAsia"/>
          <w:lang w:eastAsia="ko-KR"/>
        </w:rPr>
        <w:t>, MD</w:t>
      </w:r>
      <w:r w:rsidR="005973B9">
        <w:rPr>
          <w:rFonts w:ascii="Arial"/>
        </w:rPr>
        <w:t xml:space="preserve">, </w:t>
      </w:r>
      <w:r>
        <w:rPr>
          <w:rFonts w:ascii="Arial" w:eastAsiaTheme="minorEastAsia" w:hint="eastAsia"/>
          <w:lang w:eastAsia="ko-KR"/>
        </w:rPr>
        <w:t>DGIST (South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0D50AB" w:rsidRDefault="000D50AB" w:rsidP="000D50AB">
      <w:pPr>
        <w:jc w:val="both"/>
        <w:rPr>
          <w:rFonts w:ascii="Garamond" w:hAnsi="Garamond" w:cs="Arial"/>
          <w:color w:val="222222"/>
          <w:sz w:val="28"/>
          <w:szCs w:val="28"/>
          <w:shd w:val="clear" w:color="auto" w:fill="FFFFFF"/>
        </w:rPr>
      </w:pPr>
      <w:proofErr w:type="spellStart"/>
      <w:r>
        <w:rPr>
          <w:rFonts w:ascii="Garamond" w:hAnsi="Garamond" w:cs="Arial"/>
          <w:color w:val="222222"/>
          <w:sz w:val="28"/>
          <w:szCs w:val="28"/>
          <w:shd w:val="clear" w:color="auto" w:fill="FFFFFF"/>
        </w:rPr>
        <w:t>Bioelectromagnetics</w:t>
      </w:r>
      <w:proofErr w:type="spellEnd"/>
      <w:r>
        <w:rPr>
          <w:rFonts w:ascii="Garamond" w:hAnsi="Garamond" w:cs="Arial"/>
          <w:color w:val="222222"/>
          <w:sz w:val="28"/>
          <w:szCs w:val="28"/>
          <w:shd w:val="clear" w:color="auto" w:fill="FFFFFF"/>
        </w:rPr>
        <w:t xml:space="preserve"> concerns the interaction with electromagnetic fields and waves with biological entities, from the molecular to the organismal. This seminar will provide a brief overview of this rapidly advancing field including some of the key medical applications of such technologies. Specific results concerning protein electrodynamics and terahertz medicine wil</w:t>
      </w:r>
      <w:bookmarkStart w:id="0" w:name="_GoBack"/>
      <w:bookmarkEnd w:id="0"/>
      <w:r>
        <w:rPr>
          <w:rFonts w:ascii="Garamond" w:hAnsi="Garamond" w:cs="Arial"/>
          <w:color w:val="222222"/>
          <w:sz w:val="28"/>
          <w:szCs w:val="28"/>
          <w:shd w:val="clear" w:color="auto" w:fill="FFFFFF"/>
        </w:rPr>
        <w:t>l also be discussed. In particular, it is well known that proteins exhibit dynamic behavior with their normal modes specifically vibrating at terahertz frequencies. These motions are essential to protein function and because these macromolecules are charged the existence of such vibrations suggest the possibility of specific interaction with electromagnetic radiation in the terahertz band. Time-domain spectroscopic experiments were performed identifying specific absorption of terahertz radiation (~0.8THz and 1.3THz) by met-hemoglobin as well as potential interactions between high frequency and low frequency modes (e.g. Stokes shift). This proof-of-concept result suggests that these protein spectroscopic signatures can serve as the basis of a novel form of molecular medical imaging; likewise terahertz-modulated manipulation of such motions may underlie new forms of therapy. Other collaborative studies now underway, including THz imaging of Cancer and Alzheimer’s disease tissues will also be highlighted.</w:t>
      </w:r>
    </w:p>
    <w:p w:rsidR="00AE3E37" w:rsidRDefault="00AE3E37">
      <w:pPr>
        <w:pStyle w:val="a3"/>
        <w:spacing w:before="90" w:line="280" w:lineRule="auto"/>
        <w:ind w:left="100"/>
        <w:jc w:val="both"/>
      </w:pPr>
    </w:p>
    <w:p w:rsidR="00AE3E37" w:rsidRDefault="00A9710C">
      <w:pPr>
        <w:pStyle w:val="3"/>
        <w:spacing w:before="74"/>
      </w:pPr>
      <w:r>
        <w:rPr>
          <w:b w:val="0"/>
        </w:rPr>
        <w:br w:type="column"/>
      </w:r>
    </w:p>
    <w:p w:rsidR="00AE3E37" w:rsidRDefault="00AE3E37">
      <w:pPr>
        <w:pStyle w:val="a3"/>
        <w:spacing w:before="2"/>
        <w:rPr>
          <w:rFonts w:ascii="Arial"/>
          <w:b/>
          <w:sz w:val="16"/>
        </w:rPr>
      </w:pPr>
    </w:p>
    <w:p w:rsidR="000D50AB" w:rsidRDefault="005973B9" w:rsidP="000D50AB">
      <w:pPr>
        <w:spacing w:line="204" w:lineRule="exact"/>
        <w:rPr>
          <w:rFonts w:ascii="Calibri" w:hAnsi="Calibri"/>
        </w:rPr>
      </w:pPr>
      <w:r>
        <w:rPr>
          <w:rFonts w:ascii="Arial"/>
          <w:b/>
          <w:color w:val="BF5A14"/>
          <w:sz w:val="20"/>
        </w:rPr>
        <w:br/>
      </w:r>
    </w:p>
    <w:p w:rsidR="005973B9" w:rsidRDefault="005973B9" w:rsidP="005973B9">
      <w:pPr>
        <w:pStyle w:val="a3"/>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D50AB">
        <w:rPr>
          <w:rFonts w:eastAsiaTheme="minorEastAsia" w:hint="eastAsia"/>
          <w:noProof/>
          <w:lang w:eastAsia="ko-KR"/>
        </w:rPr>
        <w:drawing>
          <wp:inline distT="0" distB="0" distL="0" distR="0">
            <wp:extent cx="768096" cy="841248"/>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an Gurel.png"/>
                    <pic:cNvPicPr/>
                  </pic:nvPicPr>
                  <pic:blipFill rotWithShape="1">
                    <a:blip r:embed="rId10">
                      <a:extLst>
                        <a:ext uri="{28A0092B-C50C-407E-A947-70E740481C1C}">
                          <a14:useLocalDpi xmlns:a14="http://schemas.microsoft.com/office/drawing/2010/main" val="0"/>
                        </a:ext>
                      </a:extLst>
                    </a:blip>
                    <a:srcRect l="40445" t="13481" r="30860" b="66894"/>
                    <a:stretch/>
                  </pic:blipFill>
                  <pic:spPr bwMode="auto">
                    <a:xfrm>
                      <a:off x="0" y="0"/>
                      <a:ext cx="768014" cy="841158"/>
                    </a:xfrm>
                    <a:prstGeom prst="rect">
                      <a:avLst/>
                    </a:prstGeom>
                    <a:ln>
                      <a:noFill/>
                    </a:ln>
                    <a:extLst>
                      <a:ext uri="{53640926-AAD7-44D8-BBD7-CCE9431645EC}">
                        <a14:shadowObscured xmlns:a14="http://schemas.microsoft.com/office/drawing/2010/main"/>
                      </a:ext>
                    </a:extLst>
                  </pic:spPr>
                </pic:pic>
              </a:graphicData>
            </a:graphic>
          </wp:inline>
        </w:drawing>
      </w:r>
      <w:r w:rsidR="000D50AB">
        <w:rPr>
          <w:rFonts w:eastAsiaTheme="minorEastAsia" w:hint="eastAsia"/>
          <w:noProof/>
          <w:lang w:eastAsia="ko-KR"/>
        </w:rPr>
        <w:t xml:space="preserve"> </w:t>
      </w:r>
      <w:r w:rsidR="00A9710C">
        <w:rPr>
          <w:rFonts w:ascii="Arial"/>
          <w:color w:val="BF5A14"/>
        </w:rPr>
        <w:t>Biography</w:t>
      </w:r>
      <w:r w:rsidR="00404E5B">
        <w:rPr>
          <w:rFonts w:ascii="Arial"/>
          <w:color w:val="BF5A14"/>
        </w:rPr>
        <w:t xml:space="preserve"> (150 word limit)</w:t>
      </w:r>
    </w:p>
    <w:p w:rsidR="00AE3E37" w:rsidRDefault="000D50AB">
      <w:pPr>
        <w:spacing w:before="41" w:line="154" w:lineRule="exact"/>
        <w:ind w:left="213" w:right="231"/>
        <w:jc w:val="both"/>
        <w:rPr>
          <w:rFonts w:ascii="Arial"/>
          <w:sz w:val="14"/>
        </w:rPr>
      </w:pPr>
      <w:r w:rsidRPr="000D50AB">
        <w:rPr>
          <w:rFonts w:ascii="Arial"/>
          <w:sz w:val="14"/>
        </w:rPr>
        <w:lastRenderedPageBreak/>
        <w:t xml:space="preserve">Dr. </w:t>
      </w:r>
      <w:proofErr w:type="spellStart"/>
      <w:r w:rsidRPr="000D50AB">
        <w:rPr>
          <w:rFonts w:ascii="Arial"/>
          <w:sz w:val="14"/>
        </w:rPr>
        <w:t>Ogan</w:t>
      </w:r>
      <w:proofErr w:type="spellEnd"/>
      <w:r w:rsidRPr="000D50AB">
        <w:rPr>
          <w:rFonts w:ascii="Arial"/>
          <w:sz w:val="14"/>
        </w:rPr>
        <w:t xml:space="preserve"> </w:t>
      </w:r>
      <w:proofErr w:type="spellStart"/>
      <w:r w:rsidRPr="000D50AB">
        <w:rPr>
          <w:rFonts w:ascii="Arial"/>
          <w:sz w:val="14"/>
        </w:rPr>
        <w:t>Gurel</w:t>
      </w:r>
      <w:proofErr w:type="spellEnd"/>
      <w:r w:rsidRPr="000D50AB">
        <w:rPr>
          <w:rFonts w:ascii="Arial"/>
          <w:sz w:val="14"/>
        </w:rPr>
        <w:t xml:space="preserve"> serves as Chief Medical Officer for </w:t>
      </w:r>
      <w:proofErr w:type="spellStart"/>
      <w:r w:rsidRPr="000D50AB">
        <w:rPr>
          <w:rFonts w:ascii="Arial"/>
          <w:sz w:val="14"/>
        </w:rPr>
        <w:t>Psomagen</w:t>
      </w:r>
      <w:proofErr w:type="spellEnd"/>
      <w:r w:rsidRPr="000D50AB">
        <w:rPr>
          <w:rFonts w:ascii="Arial"/>
          <w:sz w:val="14"/>
        </w:rPr>
        <w:t xml:space="preserve"> USA (a division of </w:t>
      </w:r>
      <w:proofErr w:type="spellStart"/>
      <w:r w:rsidRPr="000D50AB">
        <w:rPr>
          <w:rFonts w:ascii="Arial"/>
          <w:sz w:val="14"/>
        </w:rPr>
        <w:t>Macrogen</w:t>
      </w:r>
      <w:proofErr w:type="spellEnd"/>
      <w:r w:rsidRPr="000D50AB">
        <w:rPr>
          <w:rFonts w:ascii="Arial"/>
          <w:sz w:val="14"/>
        </w:rPr>
        <w:t xml:space="preserve">) and holds academic appointments as a Visiting Professor at the </w:t>
      </w:r>
      <w:proofErr w:type="spellStart"/>
      <w:r w:rsidRPr="000D50AB">
        <w:rPr>
          <w:rFonts w:ascii="Arial"/>
          <w:sz w:val="14"/>
        </w:rPr>
        <w:t>Solbridge</w:t>
      </w:r>
      <w:proofErr w:type="spellEnd"/>
      <w:r w:rsidRPr="000D50AB">
        <w:rPr>
          <w:rFonts w:ascii="Arial"/>
          <w:sz w:val="14"/>
        </w:rPr>
        <w:t xml:space="preserve"> International School of Business and Visiting Teaching Professor at DGIST (</w:t>
      </w:r>
      <w:proofErr w:type="spellStart"/>
      <w:r w:rsidRPr="000D50AB">
        <w:rPr>
          <w:rFonts w:ascii="Arial"/>
          <w:sz w:val="14"/>
        </w:rPr>
        <w:t>Daegu</w:t>
      </w:r>
      <w:proofErr w:type="spellEnd"/>
      <w:r w:rsidRPr="000D50AB">
        <w:rPr>
          <w:rFonts w:ascii="Arial"/>
          <w:sz w:val="14"/>
        </w:rPr>
        <w:t xml:space="preserve"> </w:t>
      </w:r>
      <w:proofErr w:type="spellStart"/>
      <w:r w:rsidRPr="000D50AB">
        <w:rPr>
          <w:rFonts w:ascii="Arial"/>
          <w:sz w:val="14"/>
        </w:rPr>
        <w:t>Gyeongbuk</w:t>
      </w:r>
      <w:proofErr w:type="spellEnd"/>
      <w:r w:rsidRPr="000D50AB">
        <w:rPr>
          <w:rFonts w:ascii="Arial"/>
          <w:sz w:val="14"/>
        </w:rPr>
        <w:t xml:space="preserve"> Institute of Science &amp; Technology), with previous DGIST positions as Vice-Chair &amp; Distinguished Invited Professor in the Management of Innovation. In the innovation world, Dr. </w:t>
      </w:r>
      <w:proofErr w:type="spellStart"/>
      <w:r w:rsidRPr="000D50AB">
        <w:rPr>
          <w:rFonts w:ascii="Arial"/>
          <w:sz w:val="14"/>
        </w:rPr>
        <w:t>Gurel</w:t>
      </w:r>
      <w:proofErr w:type="spellEnd"/>
      <w:r w:rsidRPr="000D50AB">
        <w:rPr>
          <w:rFonts w:ascii="Arial"/>
          <w:sz w:val="14"/>
        </w:rPr>
        <w:t xml:space="preserve"> is also Chief Scientific Officer for FRT </w:t>
      </w:r>
      <w:r w:rsidRPr="000D50AB">
        <w:rPr>
          <w:rFonts w:ascii="Arial"/>
          <w:sz w:val="14"/>
        </w:rPr>
        <w:t>–</w:t>
      </w:r>
      <w:r w:rsidRPr="000D50AB">
        <w:rPr>
          <w:rFonts w:ascii="Arial"/>
          <w:sz w:val="14"/>
        </w:rPr>
        <w:t xml:space="preserve"> Field Robot Technology, Chief Marketing Officer for </w:t>
      </w:r>
      <w:proofErr w:type="spellStart"/>
      <w:r w:rsidRPr="000D50AB">
        <w:rPr>
          <w:rFonts w:ascii="Arial"/>
          <w:sz w:val="14"/>
        </w:rPr>
        <w:t>Eidware</w:t>
      </w:r>
      <w:proofErr w:type="spellEnd"/>
      <w:r w:rsidRPr="000D50AB">
        <w:rPr>
          <w:rFonts w:ascii="Arial"/>
          <w:sz w:val="14"/>
        </w:rPr>
        <w:t xml:space="preserve"> / </w:t>
      </w:r>
      <w:proofErr w:type="spellStart"/>
      <w:r w:rsidRPr="000D50AB">
        <w:rPr>
          <w:rFonts w:ascii="Arial"/>
          <w:sz w:val="14"/>
        </w:rPr>
        <w:t>SoundMind</w:t>
      </w:r>
      <w:proofErr w:type="spellEnd"/>
      <w:r w:rsidRPr="000D50AB">
        <w:rPr>
          <w:rFonts w:ascii="Arial"/>
          <w:sz w:val="14"/>
        </w:rPr>
        <w:t xml:space="preserve"> (Seoul), Advisor for the CREST-Malaysia Digital Health Cluster and a Venture Partner at The </w:t>
      </w:r>
      <w:proofErr w:type="spellStart"/>
      <w:r w:rsidRPr="000D50AB">
        <w:rPr>
          <w:rFonts w:ascii="Arial"/>
          <w:sz w:val="14"/>
        </w:rPr>
        <w:t>Yozma</w:t>
      </w:r>
      <w:proofErr w:type="spellEnd"/>
      <w:r w:rsidRPr="000D50AB">
        <w:rPr>
          <w:rFonts w:ascii="Arial"/>
          <w:sz w:val="14"/>
        </w:rPr>
        <w:t xml:space="preserve"> Group, with previous executive roles as CEO at </w:t>
      </w:r>
      <w:proofErr w:type="spellStart"/>
      <w:r w:rsidRPr="000D50AB">
        <w:rPr>
          <w:rFonts w:ascii="Arial"/>
          <w:sz w:val="14"/>
        </w:rPr>
        <w:t>NovumWaves</w:t>
      </w:r>
      <w:proofErr w:type="spellEnd"/>
      <w:r w:rsidRPr="000D50AB">
        <w:rPr>
          <w:rFonts w:ascii="Arial"/>
          <w:sz w:val="14"/>
        </w:rPr>
        <w:t xml:space="preserve"> (Seoul), Acting Chief Medical Officer at </w:t>
      </w:r>
      <w:proofErr w:type="spellStart"/>
      <w:r w:rsidRPr="000D50AB">
        <w:rPr>
          <w:rFonts w:ascii="Arial"/>
          <w:sz w:val="14"/>
        </w:rPr>
        <w:t>Nessa</w:t>
      </w:r>
      <w:proofErr w:type="spellEnd"/>
      <w:r w:rsidRPr="000D50AB">
        <w:rPr>
          <w:rFonts w:ascii="Arial"/>
          <w:sz w:val="14"/>
        </w:rPr>
        <w:t xml:space="preserve"> Hearing (Singapore), and Advisor at </w:t>
      </w:r>
      <w:proofErr w:type="spellStart"/>
      <w:r w:rsidRPr="000D50AB">
        <w:rPr>
          <w:rFonts w:ascii="Arial"/>
          <w:sz w:val="14"/>
        </w:rPr>
        <w:t>Frasen</w:t>
      </w:r>
      <w:proofErr w:type="spellEnd"/>
      <w:r w:rsidRPr="000D50AB">
        <w:rPr>
          <w:rFonts w:ascii="Arial"/>
          <w:sz w:val="14"/>
        </w:rPr>
        <w:t xml:space="preserve"> (Seoul). </w:t>
      </w:r>
      <w:proofErr w:type="spellStart"/>
      <w:r w:rsidRPr="000D50AB">
        <w:rPr>
          <w:rFonts w:ascii="Arial"/>
          <w:sz w:val="14"/>
        </w:rPr>
        <w:t>Ogan</w:t>
      </w:r>
      <w:proofErr w:type="spellEnd"/>
      <w:r w:rsidRPr="000D50AB">
        <w:rPr>
          <w:rFonts w:ascii="Arial"/>
          <w:sz w:val="14"/>
        </w:rPr>
        <w:t xml:space="preserve"> served over four years as a Director in the CTO office (MOT &amp; Open Innovation groups) at the Samsung Advanced Institute of Technology (SAIT). Dr. </w:t>
      </w:r>
      <w:proofErr w:type="spellStart"/>
      <w:r w:rsidRPr="000D50AB">
        <w:rPr>
          <w:rFonts w:ascii="Arial"/>
          <w:sz w:val="14"/>
        </w:rPr>
        <w:t>Gurel's</w:t>
      </w:r>
      <w:proofErr w:type="spellEnd"/>
      <w:r w:rsidRPr="000D50AB">
        <w:rPr>
          <w:rFonts w:ascii="Arial"/>
          <w:sz w:val="14"/>
        </w:rPr>
        <w:t xml:space="preserve"> over 35 years of experience spans multiple sectors: biomedical science, clinical medicine, strategy consulting, marketing, business development, executive management, marketing, and R&amp;D management, with domain expertise in medical devices, digital healthcare, healthcare IT, molecular biophysics, and medical imaging. Prior to surgical training at the Massachusetts General Hospital, he obtained an MD degree Alpha Omega Alpha from Columbia University, also doing graduate work in structural biology (</w:t>
      </w:r>
      <w:proofErr w:type="spellStart"/>
      <w:r w:rsidRPr="000D50AB">
        <w:rPr>
          <w:rFonts w:ascii="Arial"/>
          <w:sz w:val="14"/>
        </w:rPr>
        <w:t>M.Phil</w:t>
      </w:r>
      <w:proofErr w:type="spellEnd"/>
      <w:r w:rsidRPr="000D50AB">
        <w:rPr>
          <w:rFonts w:ascii="Arial"/>
          <w:sz w:val="14"/>
        </w:rPr>
        <w:t xml:space="preserve"> degree) and earned a Bachelor</w:t>
      </w:r>
      <w:r w:rsidRPr="000D50AB">
        <w:rPr>
          <w:rFonts w:ascii="Arial"/>
          <w:sz w:val="14"/>
        </w:rPr>
        <w:t>’</w:t>
      </w:r>
      <w:r w:rsidRPr="000D50AB">
        <w:rPr>
          <w:rFonts w:ascii="Arial"/>
          <w:sz w:val="14"/>
        </w:rPr>
        <w:t xml:space="preserve">s in Biochemical Sciences cum laude from Harvard College. Authoring 14 peer-reviewed scholarly papers, presenting nearly 200 conference proceedings and co-inventor on ten patent applications (four granted), Dr. </w:t>
      </w:r>
      <w:proofErr w:type="spellStart"/>
      <w:r w:rsidRPr="000D50AB">
        <w:rPr>
          <w:rFonts w:ascii="Arial"/>
          <w:sz w:val="14"/>
        </w:rPr>
        <w:t>Gurel</w:t>
      </w:r>
      <w:proofErr w:type="spellEnd"/>
      <w:r w:rsidRPr="000D50AB">
        <w:rPr>
          <w:rFonts w:ascii="Arial"/>
          <w:sz w:val="14"/>
        </w:rPr>
        <w:t xml:space="preserve"> has also given keynote addresses and other speeches at business and scientific conferences and seminars worldwide.</w:t>
      </w:r>
    </w:p>
    <w:p w:rsidR="00AE3E37" w:rsidRDefault="00A9710C">
      <w:pPr>
        <w:spacing w:before="62"/>
        <w:ind w:left="4217" w:right="4235"/>
        <w:jc w:val="center"/>
        <w:rPr>
          <w:rFonts w:ascii="Arial"/>
          <w:sz w:val="14"/>
        </w:rPr>
      </w:pPr>
      <w:r>
        <w:rPr>
          <w:rFonts w:ascii="Arial"/>
          <w:sz w:val="14"/>
        </w:rPr>
        <w:t xml:space="preserve">Email: </w:t>
      </w:r>
      <w:hyperlink r:id="rId11" w:history="1">
        <w:r w:rsidR="000D50AB" w:rsidRPr="00DE708E">
          <w:rPr>
            <w:rStyle w:val="a8"/>
            <w:rFonts w:ascii="Arial" w:eastAsiaTheme="minorEastAsia" w:hint="eastAsia"/>
            <w:sz w:val="14"/>
            <w:lang w:eastAsia="ko-KR"/>
          </w:rPr>
          <w:t>ogangurel</w:t>
        </w:r>
        <w:r w:rsidR="000D50AB" w:rsidRPr="00DE708E">
          <w:rPr>
            <w:rStyle w:val="a8"/>
            <w:rFonts w:ascii="Arial"/>
            <w:sz w:val="14"/>
          </w:rPr>
          <w:t>@</w:t>
        </w:r>
        <w:r w:rsidR="000D50AB" w:rsidRPr="00DE708E">
          <w:rPr>
            <w:rStyle w:val="a8"/>
            <w:rFonts w:ascii="Arial" w:eastAsiaTheme="minorEastAsia" w:hint="eastAsia"/>
            <w:sz w:val="14"/>
            <w:lang w:eastAsia="ko-KR"/>
          </w:rPr>
          <w:t>g</w:t>
        </w:r>
        <w:r w:rsidR="000D50AB" w:rsidRPr="00DE708E">
          <w:rPr>
            <w:rStyle w:val="a8"/>
            <w:rFonts w:ascii="Arial"/>
            <w:sz w:val="14"/>
          </w:rPr>
          <w:t>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D50AB" w:rsidRDefault="00AE3E37">
      <w:pPr>
        <w:pStyle w:val="a3"/>
        <w:rPr>
          <w:rFonts w:ascii="Arial" w:eastAsiaTheme="minorEastAsia" w:hint="eastAsia"/>
          <w:sz w:val="20"/>
          <w:lang w:eastAsia="ko-KR"/>
        </w:rPr>
      </w:pPr>
    </w:p>
    <w:sectPr w:rsidR="00AE3E37" w:rsidRPr="000D50AB" w:rsidSect="000D50A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70E" w:rsidRDefault="0024370E">
      <w:r>
        <w:separator/>
      </w:r>
    </w:p>
  </w:endnote>
  <w:endnote w:type="continuationSeparator" w:id="0">
    <w:p w:rsidR="0024370E" w:rsidRDefault="00243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70E" w:rsidRDefault="0024370E">
      <w:r>
        <w:separator/>
      </w:r>
    </w:p>
  </w:footnote>
  <w:footnote w:type="continuationSeparator" w:id="0">
    <w:p w:rsidR="0024370E" w:rsidRDefault="002437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50AB"/>
    <w:rsid w:val="000E2911"/>
    <w:rsid w:val="001263DF"/>
    <w:rsid w:val="0024370E"/>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03980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gangurel@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2996</Characters>
  <Application>Microsoft Office Word</Application>
  <DocSecurity>0</DocSecurity>
  <Lines>24</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macrogenuser</cp:lastModifiedBy>
  <cp:revision>2</cp:revision>
  <dcterms:created xsi:type="dcterms:W3CDTF">2020-04-27T04:29:00Z</dcterms:created>
  <dcterms:modified xsi:type="dcterms:W3CDTF">2020-04-27T04:29:00Z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