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794E39" w14:textId="2CCFD1EC" w:rsidR="00AF5BEC" w:rsidRPr="00AF5BEC" w:rsidRDefault="00AF5BEC" w:rsidP="00AF5BEC">
      <w:pPr>
        <w:pStyle w:val="NoSpacing"/>
        <w:jc w:val="center"/>
        <w:rPr>
          <w:rFonts w:cstheme="minorHAnsi"/>
          <w:b/>
          <w:sz w:val="24"/>
          <w:szCs w:val="24"/>
        </w:rPr>
      </w:pPr>
      <w:r w:rsidRPr="00AF5BEC">
        <w:rPr>
          <w:rFonts w:cstheme="minorHAnsi"/>
          <w:b/>
          <w:sz w:val="24"/>
          <w:szCs w:val="24"/>
        </w:rPr>
        <w:t xml:space="preserve">Improving </w:t>
      </w:r>
      <w:r w:rsidR="00603B05">
        <w:rPr>
          <w:rFonts w:cstheme="minorHAnsi"/>
          <w:b/>
          <w:sz w:val="24"/>
          <w:szCs w:val="24"/>
        </w:rPr>
        <w:t xml:space="preserve">anesthesia </w:t>
      </w:r>
      <w:bookmarkStart w:id="0" w:name="_GoBack"/>
      <w:bookmarkEnd w:id="0"/>
      <w:r w:rsidR="00AF041C">
        <w:rPr>
          <w:rFonts w:cstheme="minorHAnsi"/>
          <w:b/>
          <w:sz w:val="24"/>
          <w:szCs w:val="24"/>
        </w:rPr>
        <w:t>document</w:t>
      </w:r>
      <w:r w:rsidR="003B1B9B">
        <w:rPr>
          <w:rFonts w:cstheme="minorHAnsi"/>
          <w:b/>
          <w:sz w:val="24"/>
          <w:szCs w:val="24"/>
        </w:rPr>
        <w:t xml:space="preserve">ation </w:t>
      </w:r>
      <w:r w:rsidRPr="00AF5BEC">
        <w:rPr>
          <w:rFonts w:cstheme="minorHAnsi"/>
          <w:b/>
          <w:sz w:val="24"/>
          <w:szCs w:val="24"/>
        </w:rPr>
        <w:t xml:space="preserve">compliance through integration of alert systems and electronic </w:t>
      </w:r>
      <w:r>
        <w:rPr>
          <w:rFonts w:cstheme="minorHAnsi"/>
          <w:b/>
          <w:sz w:val="24"/>
          <w:szCs w:val="24"/>
        </w:rPr>
        <w:t xml:space="preserve">health </w:t>
      </w:r>
      <w:r w:rsidRPr="00AF5BEC">
        <w:rPr>
          <w:rFonts w:cstheme="minorHAnsi"/>
          <w:b/>
          <w:sz w:val="24"/>
          <w:szCs w:val="24"/>
        </w:rPr>
        <w:t>records</w:t>
      </w:r>
    </w:p>
    <w:p w14:paraId="31E9181F" w14:textId="77777777" w:rsidR="00AF5BEC" w:rsidRPr="00AF5BEC" w:rsidRDefault="00AF5BEC" w:rsidP="00F32E2A">
      <w:pPr>
        <w:pStyle w:val="NoSpacing"/>
        <w:rPr>
          <w:rFonts w:cstheme="minorHAnsi"/>
          <w:b/>
          <w:sz w:val="24"/>
          <w:szCs w:val="24"/>
        </w:rPr>
      </w:pPr>
    </w:p>
    <w:p w14:paraId="62EC0088" w14:textId="35EA16CC" w:rsidR="00C64F21" w:rsidRPr="00AF5BEC" w:rsidRDefault="00FC668A" w:rsidP="00F32E2A">
      <w:pPr>
        <w:pStyle w:val="NoSpacing"/>
        <w:rPr>
          <w:rFonts w:cstheme="minorHAnsi"/>
          <w:b/>
          <w:sz w:val="24"/>
          <w:szCs w:val="24"/>
        </w:rPr>
      </w:pPr>
      <w:r w:rsidRPr="00AF5BEC">
        <w:rPr>
          <w:rFonts w:cstheme="minorHAnsi"/>
          <w:b/>
          <w:sz w:val="24"/>
          <w:szCs w:val="24"/>
        </w:rPr>
        <w:t>Abstract</w:t>
      </w:r>
    </w:p>
    <w:p w14:paraId="12DD5493" w14:textId="77777777" w:rsidR="00FC668A" w:rsidRPr="00AF5BEC" w:rsidRDefault="00FC668A" w:rsidP="00FC668A">
      <w:pPr>
        <w:pStyle w:val="NoSpacing"/>
        <w:rPr>
          <w:rFonts w:cstheme="minorHAnsi"/>
          <w:b/>
          <w:sz w:val="24"/>
          <w:szCs w:val="24"/>
        </w:rPr>
      </w:pPr>
    </w:p>
    <w:p w14:paraId="500245D9" w14:textId="77777777" w:rsidR="00FC668A" w:rsidRPr="00AF5BEC" w:rsidRDefault="00FC668A" w:rsidP="00FC668A">
      <w:pPr>
        <w:pStyle w:val="NoSpacing"/>
        <w:rPr>
          <w:rFonts w:cstheme="minorHAnsi"/>
          <w:b/>
          <w:sz w:val="24"/>
          <w:szCs w:val="24"/>
        </w:rPr>
      </w:pPr>
      <w:r w:rsidRPr="00AF5BEC">
        <w:rPr>
          <w:rFonts w:cstheme="minorHAnsi"/>
          <w:b/>
          <w:sz w:val="24"/>
          <w:szCs w:val="24"/>
        </w:rPr>
        <w:t>Background:</w:t>
      </w:r>
    </w:p>
    <w:p w14:paraId="56E7C23C" w14:textId="7AD67C14" w:rsidR="00D741F9" w:rsidRPr="00AF5BEC" w:rsidRDefault="00D741F9" w:rsidP="00FC668A">
      <w:pPr>
        <w:pStyle w:val="NoSpacing"/>
        <w:rPr>
          <w:rFonts w:cstheme="minorHAnsi"/>
          <w:sz w:val="24"/>
          <w:szCs w:val="24"/>
        </w:rPr>
      </w:pPr>
      <w:r w:rsidRPr="00AF5BEC">
        <w:rPr>
          <w:rFonts w:cstheme="minorHAnsi"/>
          <w:sz w:val="24"/>
          <w:szCs w:val="24"/>
        </w:rPr>
        <w:t>The eligibility requirements to guarantee payor reimbursements for anesthesia services is becoming increasingly stringent. Institutions must comply with documentation standards set by the Center for Medicare and Medicaid Services (CMS) and The Joint Commission (TJC).</w:t>
      </w:r>
      <w:r w:rsidRPr="00AF5BEC">
        <w:rPr>
          <w:rFonts w:cstheme="minorHAnsi"/>
          <w:sz w:val="24"/>
          <w:szCs w:val="24"/>
        </w:rPr>
        <w:t xml:space="preserve"> </w:t>
      </w:r>
      <w:r w:rsidRPr="00AF5BEC">
        <w:rPr>
          <w:rFonts w:cstheme="minorHAnsi"/>
          <w:sz w:val="24"/>
          <w:szCs w:val="24"/>
        </w:rPr>
        <w:t>Such documentations often involve recordings of clinical events at specific times and attestations affirming that a particular assessment or procedure is performed.</w:t>
      </w:r>
    </w:p>
    <w:p w14:paraId="1162F78A" w14:textId="4BB18910" w:rsidR="00D741F9" w:rsidRPr="00AF5BEC" w:rsidRDefault="00D741F9" w:rsidP="00FC668A">
      <w:pPr>
        <w:pStyle w:val="NoSpacing"/>
        <w:rPr>
          <w:rFonts w:cstheme="minorHAnsi"/>
          <w:sz w:val="24"/>
          <w:szCs w:val="24"/>
        </w:rPr>
      </w:pPr>
      <w:r w:rsidRPr="00AF5BEC">
        <w:rPr>
          <w:rFonts w:cstheme="minorHAnsi"/>
          <w:sz w:val="24"/>
          <w:szCs w:val="24"/>
        </w:rPr>
        <w:t>Alert systems have been implemented throughout numerous industries to reduce mistakes and enhance efficiency through improved quality control. In healthcare, alerts are sent by clinical decision support (CDS) systems integrated with electronic medical records (EMR) to assist healthcare providers, either by a passive alert system or an active system with real-time guidance. By analyzing clinical data and deviations from hospital standards in the EMR, CDS systems can potentially improve the quality of patient care, reimbursements, and compliance with regulatory requirements.</w:t>
      </w:r>
    </w:p>
    <w:p w14:paraId="023E6363" w14:textId="1609C8D1" w:rsidR="00FC668A" w:rsidRPr="00AF5BEC" w:rsidRDefault="00D741F9" w:rsidP="00FC668A">
      <w:pPr>
        <w:pStyle w:val="NoSpacing"/>
        <w:rPr>
          <w:rFonts w:cstheme="minorHAnsi"/>
          <w:sz w:val="24"/>
          <w:szCs w:val="24"/>
        </w:rPr>
      </w:pPr>
      <w:r w:rsidRPr="00AF5BEC">
        <w:rPr>
          <w:rFonts w:cstheme="minorHAnsi"/>
          <w:sz w:val="24"/>
          <w:szCs w:val="24"/>
        </w:rPr>
        <w:t>Because a</w:t>
      </w:r>
      <w:r w:rsidR="00FC668A" w:rsidRPr="00AF5BEC">
        <w:rPr>
          <w:rFonts w:cstheme="minorHAnsi"/>
          <w:sz w:val="24"/>
          <w:szCs w:val="24"/>
        </w:rPr>
        <w:t xml:space="preserve">dherence to </w:t>
      </w:r>
      <w:r w:rsidR="00F32E2A" w:rsidRPr="00AF5BEC">
        <w:rPr>
          <w:rFonts w:cstheme="minorHAnsi"/>
          <w:sz w:val="24"/>
          <w:szCs w:val="24"/>
        </w:rPr>
        <w:t xml:space="preserve">anesthesia </w:t>
      </w:r>
      <w:r w:rsidR="00FC668A" w:rsidRPr="00AF5BEC">
        <w:rPr>
          <w:rFonts w:cstheme="minorHAnsi"/>
          <w:sz w:val="24"/>
          <w:szCs w:val="24"/>
        </w:rPr>
        <w:t>documentation standards can be a challenge, especially within the intra-operative time frame. We tested the hypothesis that implementation of an alert system would increase the compliance of on-time documentation of the immediate pre-operative assessment</w:t>
      </w:r>
      <w:r w:rsidR="005E41F5" w:rsidRPr="00AF5BEC">
        <w:rPr>
          <w:rFonts w:cstheme="minorHAnsi"/>
          <w:sz w:val="24"/>
          <w:szCs w:val="24"/>
        </w:rPr>
        <w:t xml:space="preserve"> (IPOA)</w:t>
      </w:r>
      <w:r w:rsidR="00FC668A" w:rsidRPr="00AF5BEC">
        <w:rPr>
          <w:rFonts w:cstheme="minorHAnsi"/>
          <w:sz w:val="24"/>
          <w:szCs w:val="24"/>
        </w:rPr>
        <w:t>.</w:t>
      </w:r>
    </w:p>
    <w:p w14:paraId="2E77805E" w14:textId="77777777" w:rsidR="00FC668A" w:rsidRPr="00AF5BEC" w:rsidRDefault="00FC668A" w:rsidP="00FC668A">
      <w:pPr>
        <w:pStyle w:val="NoSpacing"/>
        <w:rPr>
          <w:rFonts w:cstheme="minorHAnsi"/>
          <w:b/>
          <w:sz w:val="24"/>
          <w:szCs w:val="24"/>
        </w:rPr>
      </w:pPr>
    </w:p>
    <w:p w14:paraId="398460DB" w14:textId="77777777" w:rsidR="00FC668A" w:rsidRPr="00AF5BEC" w:rsidRDefault="00FC668A" w:rsidP="00FC668A">
      <w:pPr>
        <w:pStyle w:val="NoSpacing"/>
        <w:rPr>
          <w:rFonts w:cstheme="minorHAnsi"/>
          <w:b/>
          <w:sz w:val="24"/>
          <w:szCs w:val="24"/>
        </w:rPr>
      </w:pPr>
      <w:r w:rsidRPr="00AF5BEC">
        <w:rPr>
          <w:rFonts w:cstheme="minorHAnsi"/>
          <w:b/>
          <w:sz w:val="24"/>
          <w:szCs w:val="24"/>
        </w:rPr>
        <w:t>Methods:</w:t>
      </w:r>
    </w:p>
    <w:p w14:paraId="26847FB6" w14:textId="77777777" w:rsidR="00FC668A" w:rsidRPr="00AF5BEC" w:rsidRDefault="005E41F5" w:rsidP="00FC668A">
      <w:pPr>
        <w:pStyle w:val="NoSpacing"/>
        <w:rPr>
          <w:rFonts w:cstheme="minorHAnsi"/>
          <w:sz w:val="24"/>
          <w:szCs w:val="24"/>
        </w:rPr>
      </w:pPr>
      <w:r w:rsidRPr="00AF5BEC">
        <w:rPr>
          <w:rFonts w:cstheme="minorHAnsi"/>
          <w:sz w:val="24"/>
          <w:szCs w:val="24"/>
        </w:rPr>
        <w:t>We reviewed 42,285 cases performed at our institution 6 months before and 6 months after our alert implementation date of August 2</w:t>
      </w:r>
      <w:r w:rsidRPr="00AF5BEC">
        <w:rPr>
          <w:rFonts w:cstheme="minorHAnsi"/>
          <w:sz w:val="24"/>
          <w:szCs w:val="24"/>
          <w:vertAlign w:val="superscript"/>
        </w:rPr>
        <w:t>nd</w:t>
      </w:r>
      <w:r w:rsidRPr="00AF5BEC">
        <w:rPr>
          <w:rFonts w:cstheme="minorHAnsi"/>
          <w:sz w:val="24"/>
          <w:szCs w:val="24"/>
        </w:rPr>
        <w:t>, 2018. Our primary outcome was comparing compliance rates of IPOA documentation between the pre- and post-implementation periods. Our secondary outcomes were timing of IPOA completion and whether subsets of cases, such as patient age, hospital service, and case duration had a difference in compliance pre- versus post-implementation.</w:t>
      </w:r>
    </w:p>
    <w:p w14:paraId="44242DE7" w14:textId="77777777" w:rsidR="00FC668A" w:rsidRPr="00AF5BEC" w:rsidRDefault="00FC668A" w:rsidP="00FC668A">
      <w:pPr>
        <w:pStyle w:val="NoSpacing"/>
        <w:rPr>
          <w:rFonts w:cstheme="minorHAnsi"/>
          <w:b/>
          <w:sz w:val="24"/>
          <w:szCs w:val="24"/>
        </w:rPr>
      </w:pPr>
    </w:p>
    <w:p w14:paraId="3B01C704" w14:textId="77777777" w:rsidR="00FC668A" w:rsidRPr="00AF5BEC" w:rsidRDefault="00FC668A" w:rsidP="00FC668A">
      <w:pPr>
        <w:pStyle w:val="NoSpacing"/>
        <w:rPr>
          <w:rFonts w:cstheme="minorHAnsi"/>
          <w:b/>
          <w:sz w:val="24"/>
          <w:szCs w:val="24"/>
        </w:rPr>
      </w:pPr>
      <w:r w:rsidRPr="00AF5BEC">
        <w:rPr>
          <w:rFonts w:cstheme="minorHAnsi"/>
          <w:b/>
          <w:sz w:val="24"/>
          <w:szCs w:val="24"/>
        </w:rPr>
        <w:t>Results:</w:t>
      </w:r>
    </w:p>
    <w:p w14:paraId="4E3CC4F6" w14:textId="77777777" w:rsidR="00FC668A" w:rsidRPr="00AF5BEC" w:rsidRDefault="000E2F2A" w:rsidP="00FC668A">
      <w:pPr>
        <w:pStyle w:val="NoSpacing"/>
        <w:rPr>
          <w:rFonts w:cstheme="minorHAnsi"/>
          <w:sz w:val="24"/>
          <w:szCs w:val="24"/>
        </w:rPr>
      </w:pPr>
      <w:r w:rsidRPr="00AF5BEC">
        <w:rPr>
          <w:rFonts w:cstheme="minorHAnsi"/>
          <w:sz w:val="24"/>
          <w:szCs w:val="24"/>
        </w:rPr>
        <w:t>The compliance rate of IPOA completion significantly increased from 76% to 88% (P &lt; 0.001) before and after the alert implementation date and remained over 85% on a month-by-month basis. The time of IPOA completion was earlier in the post-implementation period</w:t>
      </w:r>
      <w:r w:rsidR="00F43F72" w:rsidRPr="00AF5BEC">
        <w:rPr>
          <w:rFonts w:cstheme="minorHAnsi"/>
          <w:sz w:val="24"/>
          <w:szCs w:val="24"/>
        </w:rPr>
        <w:t xml:space="preserve"> </w:t>
      </w:r>
      <w:r w:rsidRPr="00AF5BEC">
        <w:rPr>
          <w:rFonts w:cstheme="minorHAnsi"/>
          <w:sz w:val="24"/>
          <w:szCs w:val="24"/>
        </w:rPr>
        <w:t xml:space="preserve">and mornings were found to have an earlier time of IPOA completion. </w:t>
      </w:r>
      <w:r w:rsidR="00A234D9" w:rsidRPr="00AF5BEC">
        <w:rPr>
          <w:rFonts w:cstheme="minorHAnsi"/>
          <w:sz w:val="24"/>
          <w:szCs w:val="24"/>
        </w:rPr>
        <w:t>With regards to</w:t>
      </w:r>
      <w:r w:rsidR="00F43F72" w:rsidRPr="00AF5BEC">
        <w:rPr>
          <w:rFonts w:cstheme="minorHAnsi"/>
          <w:sz w:val="24"/>
          <w:szCs w:val="24"/>
        </w:rPr>
        <w:t xml:space="preserve"> subsets of cases, c</w:t>
      </w:r>
      <w:r w:rsidRPr="00AF5BEC">
        <w:rPr>
          <w:rFonts w:cstheme="minorHAnsi"/>
          <w:sz w:val="24"/>
          <w:szCs w:val="24"/>
        </w:rPr>
        <w:t>ases lastin</w:t>
      </w:r>
      <w:r w:rsidR="00F43F72" w:rsidRPr="00AF5BEC">
        <w:rPr>
          <w:rFonts w:cstheme="minorHAnsi"/>
          <w:sz w:val="24"/>
          <w:szCs w:val="24"/>
        </w:rPr>
        <w:t>g &lt;</w:t>
      </w:r>
      <w:r w:rsidR="004A0D6C" w:rsidRPr="00AF5BEC">
        <w:rPr>
          <w:rFonts w:cstheme="minorHAnsi"/>
          <w:sz w:val="24"/>
          <w:szCs w:val="24"/>
        </w:rPr>
        <w:t>1-hour</w:t>
      </w:r>
      <w:r w:rsidR="00F43F72" w:rsidRPr="00AF5BEC">
        <w:rPr>
          <w:rFonts w:cstheme="minorHAnsi"/>
          <w:sz w:val="24"/>
          <w:szCs w:val="24"/>
        </w:rPr>
        <w:t xml:space="preserve">, adult cases, and cases in the GI and IR service </w:t>
      </w:r>
      <w:r w:rsidR="00A9089F" w:rsidRPr="00AF5BEC">
        <w:rPr>
          <w:rFonts w:cstheme="minorHAnsi"/>
          <w:sz w:val="24"/>
          <w:szCs w:val="24"/>
        </w:rPr>
        <w:t>had</w:t>
      </w:r>
      <w:r w:rsidR="00F43F72" w:rsidRPr="00AF5BEC">
        <w:rPr>
          <w:rFonts w:cstheme="minorHAnsi"/>
          <w:sz w:val="24"/>
          <w:szCs w:val="24"/>
        </w:rPr>
        <w:t xml:space="preserve"> the greatest improvements in compliance.</w:t>
      </w:r>
    </w:p>
    <w:p w14:paraId="0C5CE969" w14:textId="77777777" w:rsidR="000E2F2A" w:rsidRPr="00AF5BEC" w:rsidRDefault="000E2F2A" w:rsidP="00FC668A">
      <w:pPr>
        <w:pStyle w:val="NoSpacing"/>
        <w:rPr>
          <w:rFonts w:cstheme="minorHAnsi"/>
          <w:b/>
          <w:sz w:val="24"/>
          <w:szCs w:val="24"/>
        </w:rPr>
      </w:pPr>
    </w:p>
    <w:p w14:paraId="63732507" w14:textId="77777777" w:rsidR="00FC668A" w:rsidRPr="00AF5BEC" w:rsidRDefault="00FC668A" w:rsidP="00FC668A">
      <w:pPr>
        <w:pStyle w:val="NoSpacing"/>
        <w:rPr>
          <w:rFonts w:cstheme="minorHAnsi"/>
          <w:b/>
          <w:sz w:val="24"/>
          <w:szCs w:val="24"/>
        </w:rPr>
      </w:pPr>
      <w:r w:rsidRPr="00AF5BEC">
        <w:rPr>
          <w:rFonts w:cstheme="minorHAnsi"/>
          <w:b/>
          <w:sz w:val="24"/>
          <w:szCs w:val="24"/>
        </w:rPr>
        <w:t>Conclusions:</w:t>
      </w:r>
    </w:p>
    <w:p w14:paraId="53606D1C" w14:textId="29F11E77" w:rsidR="004A0D6C" w:rsidRPr="00AF5BEC" w:rsidRDefault="00A9089F" w:rsidP="00FC668A">
      <w:pPr>
        <w:pStyle w:val="NoSpacing"/>
        <w:rPr>
          <w:rFonts w:cstheme="minorHAnsi"/>
          <w:sz w:val="24"/>
          <w:szCs w:val="24"/>
        </w:rPr>
      </w:pPr>
      <w:r w:rsidRPr="00AF5BEC">
        <w:rPr>
          <w:rFonts w:cstheme="minorHAnsi"/>
          <w:sz w:val="24"/>
          <w:szCs w:val="24"/>
        </w:rPr>
        <w:t xml:space="preserve">An alert system via a single page notification was shown to improve the compliance rate for </w:t>
      </w:r>
      <w:r w:rsidR="00F32E2A" w:rsidRPr="00AF5BEC">
        <w:rPr>
          <w:rFonts w:cstheme="minorHAnsi"/>
          <w:sz w:val="24"/>
          <w:szCs w:val="24"/>
        </w:rPr>
        <w:t xml:space="preserve">timely </w:t>
      </w:r>
      <w:r w:rsidRPr="00AF5BEC">
        <w:rPr>
          <w:rFonts w:cstheme="minorHAnsi"/>
          <w:sz w:val="24"/>
          <w:szCs w:val="24"/>
        </w:rPr>
        <w:t xml:space="preserve">documentation of </w:t>
      </w:r>
      <w:r w:rsidR="00F32E2A" w:rsidRPr="00AF5BEC">
        <w:rPr>
          <w:rFonts w:cstheme="minorHAnsi"/>
          <w:sz w:val="24"/>
          <w:szCs w:val="24"/>
        </w:rPr>
        <w:t>the IPOA</w:t>
      </w:r>
      <w:r w:rsidRPr="00AF5BEC">
        <w:rPr>
          <w:rFonts w:cstheme="minorHAnsi"/>
          <w:sz w:val="24"/>
          <w:szCs w:val="24"/>
        </w:rPr>
        <w:t xml:space="preserve"> </w:t>
      </w:r>
      <w:r w:rsidR="004A0D6C" w:rsidRPr="00AF5BEC">
        <w:rPr>
          <w:rFonts w:cstheme="minorHAnsi"/>
          <w:sz w:val="24"/>
          <w:szCs w:val="24"/>
        </w:rPr>
        <w:t>6 months past</w:t>
      </w:r>
      <w:r w:rsidR="00A234D9" w:rsidRPr="00AF5BEC">
        <w:rPr>
          <w:rFonts w:cstheme="minorHAnsi"/>
          <w:sz w:val="24"/>
          <w:szCs w:val="24"/>
        </w:rPr>
        <w:t xml:space="preserve"> the alert</w:t>
      </w:r>
      <w:r w:rsidR="004A0D6C" w:rsidRPr="00AF5BEC">
        <w:rPr>
          <w:rFonts w:cstheme="minorHAnsi"/>
          <w:sz w:val="24"/>
          <w:szCs w:val="24"/>
        </w:rPr>
        <w:t xml:space="preserve"> implementation date</w:t>
      </w:r>
      <w:r w:rsidRPr="00AF5BEC">
        <w:rPr>
          <w:rFonts w:cstheme="minorHAnsi"/>
          <w:sz w:val="24"/>
          <w:szCs w:val="24"/>
        </w:rPr>
        <w:t>.</w:t>
      </w:r>
      <w:r w:rsidR="00A234D9" w:rsidRPr="00AF5BEC">
        <w:rPr>
          <w:rFonts w:cstheme="minorHAnsi"/>
          <w:sz w:val="24"/>
          <w:szCs w:val="24"/>
        </w:rPr>
        <w:t xml:space="preserve"> </w:t>
      </w:r>
    </w:p>
    <w:sectPr w:rsidR="004A0D6C" w:rsidRPr="00AF5B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68A"/>
    <w:rsid w:val="000E2F2A"/>
    <w:rsid w:val="003B1B9B"/>
    <w:rsid w:val="004A0D6C"/>
    <w:rsid w:val="005958AC"/>
    <w:rsid w:val="005E41F5"/>
    <w:rsid w:val="00603B05"/>
    <w:rsid w:val="007334CA"/>
    <w:rsid w:val="00A234D9"/>
    <w:rsid w:val="00A9089F"/>
    <w:rsid w:val="00AE3825"/>
    <w:rsid w:val="00AF041C"/>
    <w:rsid w:val="00AF5BEC"/>
    <w:rsid w:val="00D741F9"/>
    <w:rsid w:val="00E100FC"/>
    <w:rsid w:val="00F150F5"/>
    <w:rsid w:val="00F32E2A"/>
    <w:rsid w:val="00F43F72"/>
    <w:rsid w:val="00FC66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91A8D"/>
  <w15:chartTrackingRefBased/>
  <w15:docId w15:val="{8653DC21-2CAB-4E9C-AFB1-7C248246B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68A"/>
    <w:pPr>
      <w:spacing w:after="0" w:line="240" w:lineRule="auto"/>
    </w:pPr>
  </w:style>
  <w:style w:type="character" w:styleId="CommentReference">
    <w:name w:val="annotation reference"/>
    <w:basedOn w:val="DefaultParagraphFont"/>
    <w:uiPriority w:val="99"/>
    <w:semiHidden/>
    <w:unhideWhenUsed/>
    <w:rsid w:val="00F32E2A"/>
    <w:rPr>
      <w:sz w:val="16"/>
      <w:szCs w:val="16"/>
    </w:rPr>
  </w:style>
  <w:style w:type="paragraph" w:styleId="CommentText">
    <w:name w:val="annotation text"/>
    <w:basedOn w:val="Normal"/>
    <w:link w:val="CommentTextChar"/>
    <w:uiPriority w:val="99"/>
    <w:semiHidden/>
    <w:unhideWhenUsed/>
    <w:rsid w:val="00F32E2A"/>
    <w:pPr>
      <w:spacing w:line="240" w:lineRule="auto"/>
    </w:pPr>
    <w:rPr>
      <w:sz w:val="20"/>
      <w:szCs w:val="20"/>
    </w:rPr>
  </w:style>
  <w:style w:type="character" w:customStyle="1" w:styleId="CommentTextChar">
    <w:name w:val="Comment Text Char"/>
    <w:basedOn w:val="DefaultParagraphFont"/>
    <w:link w:val="CommentText"/>
    <w:uiPriority w:val="99"/>
    <w:semiHidden/>
    <w:rsid w:val="00F32E2A"/>
    <w:rPr>
      <w:sz w:val="20"/>
      <w:szCs w:val="20"/>
    </w:rPr>
  </w:style>
  <w:style w:type="paragraph" w:styleId="CommentSubject">
    <w:name w:val="annotation subject"/>
    <w:basedOn w:val="CommentText"/>
    <w:next w:val="CommentText"/>
    <w:link w:val="CommentSubjectChar"/>
    <w:uiPriority w:val="99"/>
    <w:semiHidden/>
    <w:unhideWhenUsed/>
    <w:rsid w:val="00F32E2A"/>
    <w:rPr>
      <w:b/>
      <w:bCs/>
    </w:rPr>
  </w:style>
  <w:style w:type="character" w:customStyle="1" w:styleId="CommentSubjectChar">
    <w:name w:val="Comment Subject Char"/>
    <w:basedOn w:val="CommentTextChar"/>
    <w:link w:val="CommentSubject"/>
    <w:uiPriority w:val="99"/>
    <w:semiHidden/>
    <w:rsid w:val="00F32E2A"/>
    <w:rPr>
      <w:b/>
      <w:bCs/>
      <w:sz w:val="20"/>
      <w:szCs w:val="20"/>
    </w:rPr>
  </w:style>
  <w:style w:type="paragraph" w:styleId="BalloonText">
    <w:name w:val="Balloon Text"/>
    <w:basedOn w:val="Normal"/>
    <w:link w:val="BalloonTextChar"/>
    <w:uiPriority w:val="99"/>
    <w:semiHidden/>
    <w:unhideWhenUsed/>
    <w:rsid w:val="00F32E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2E2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387</Words>
  <Characters>2209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Memorial Sloan Kettering Cancer Center</Company>
  <LinksUpToDate>false</LinksUpToDate>
  <CharactersWithSpaces>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 Richard/Graduate Medical Education</dc:creator>
  <cp:keywords/>
  <dc:description/>
  <cp:lastModifiedBy>Yeoh, Cindy B./Anesthesiology-Critical Care</cp:lastModifiedBy>
  <cp:revision>4</cp:revision>
  <dcterms:created xsi:type="dcterms:W3CDTF">2019-12-03T19:19:00Z</dcterms:created>
  <dcterms:modified xsi:type="dcterms:W3CDTF">2019-12-03T20:05:00Z</dcterms:modified>
</cp:coreProperties>
</file>