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3E25F" w14:textId="29DD56CE" w:rsidR="00645CDE" w:rsidRDefault="00ED2E58" w:rsidP="00645CDE">
      <w:pPr>
        <w:pStyle w:val="Heading1"/>
        <w:spacing w:before="170"/>
        <w:ind w:left="0"/>
      </w:pPr>
      <w:r>
        <w:rPr>
          <w:color w:val="337AB7"/>
        </w:rPr>
        <w:t>A framework for law-making in the age of digital health</w:t>
      </w:r>
    </w:p>
    <w:p w14:paraId="1B604063" w14:textId="11A4FF36" w:rsidR="00645CDE" w:rsidRDefault="00ED2E58" w:rsidP="00645CDE">
      <w:pPr>
        <w:pStyle w:val="BodyText"/>
        <w:spacing w:before="73" w:line="198" w:lineRule="exact"/>
        <w:ind w:left="100" w:right="5987"/>
        <w:rPr>
          <w:rFonts w:ascii="Arial"/>
        </w:rPr>
      </w:pPr>
      <w:r>
        <w:rPr>
          <w:rFonts w:ascii="Arial"/>
        </w:rPr>
        <w:t xml:space="preserve">Bianca Phillips, LLB. </w:t>
      </w:r>
      <w:proofErr w:type="spellStart"/>
      <w:r>
        <w:rPr>
          <w:rFonts w:ascii="Arial"/>
        </w:rPr>
        <w:t>BComm</w:t>
      </w:r>
      <w:proofErr w:type="spellEnd"/>
      <w:r>
        <w:rPr>
          <w:rFonts w:ascii="Arial"/>
        </w:rPr>
        <w:t xml:space="preserve">. </w:t>
      </w:r>
      <w:proofErr w:type="spellStart"/>
      <w:r>
        <w:rPr>
          <w:rFonts w:ascii="Arial"/>
        </w:rPr>
        <w:t>GradDipLP</w:t>
      </w:r>
      <w:proofErr w:type="spellEnd"/>
      <w:r>
        <w:rPr>
          <w:rFonts w:ascii="Arial"/>
        </w:rPr>
        <w:t>. LLM</w:t>
      </w:r>
      <w:r w:rsidR="00DB1775">
        <w:rPr>
          <w:rFonts w:ascii="Arial"/>
        </w:rPr>
        <w:t xml:space="preserve"> (t</w:t>
      </w:r>
      <w:r w:rsidR="00B64875">
        <w:rPr>
          <w:rFonts w:ascii="Arial"/>
        </w:rPr>
        <w:t>elemedicine)</w:t>
      </w:r>
      <w:r>
        <w:rPr>
          <w:rFonts w:ascii="Arial"/>
        </w:rPr>
        <w:t>. Completing a</w:t>
      </w:r>
      <w:r w:rsidR="004E5294">
        <w:rPr>
          <w:rFonts w:ascii="Arial"/>
        </w:rPr>
        <w:t xml:space="preserve"> doctoral thesis</w:t>
      </w:r>
      <w:r w:rsidR="00B64875">
        <w:rPr>
          <w:rFonts w:ascii="Arial"/>
        </w:rPr>
        <w:t xml:space="preserve"> in law</w:t>
      </w:r>
      <w:r w:rsidR="00DB1775">
        <w:rPr>
          <w:rFonts w:ascii="Arial"/>
        </w:rPr>
        <w:t xml:space="preserve"> (l</w:t>
      </w:r>
      <w:r w:rsidR="00B64875">
        <w:rPr>
          <w:rFonts w:ascii="Arial"/>
        </w:rPr>
        <w:t>aw-making)</w:t>
      </w:r>
      <w:r>
        <w:rPr>
          <w:rFonts w:ascii="Arial"/>
        </w:rPr>
        <w:t xml:space="preserve">. </w:t>
      </w:r>
    </w:p>
    <w:p w14:paraId="5692E2B1" w14:textId="77777777" w:rsidR="00645CDE" w:rsidRDefault="00645CDE" w:rsidP="00645CDE">
      <w:pPr>
        <w:pStyle w:val="BodyText"/>
        <w:rPr>
          <w:rFonts w:ascii="Arial"/>
          <w:sz w:val="20"/>
        </w:rPr>
      </w:pPr>
    </w:p>
    <w:p w14:paraId="5C0F7A23" w14:textId="77777777" w:rsidR="00645CDE" w:rsidRDefault="00645CDE" w:rsidP="00645CDE">
      <w:pPr>
        <w:pStyle w:val="BodyText"/>
        <w:spacing w:before="3"/>
        <w:rPr>
          <w:rFonts w:ascii="Arial"/>
          <w:sz w:val="21"/>
        </w:rPr>
      </w:pPr>
    </w:p>
    <w:p w14:paraId="58CD88C0" w14:textId="77777777" w:rsidR="00645CDE" w:rsidRDefault="00645CDE" w:rsidP="00645CDE">
      <w:pPr>
        <w:widowControl/>
        <w:rPr>
          <w:rFonts w:ascii="Arial"/>
          <w:sz w:val="21"/>
        </w:rPr>
        <w:sectPr w:rsidR="00645CDE">
          <w:pgSz w:w="11910" w:h="16840"/>
          <w:pgMar w:top="1740" w:right="600" w:bottom="840" w:left="620" w:header="541" w:footer="642" w:gutter="0"/>
          <w:cols w:space="720"/>
        </w:sectPr>
      </w:pPr>
    </w:p>
    <w:p w14:paraId="60040723" w14:textId="77777777" w:rsidR="00645CDE" w:rsidRDefault="00645CDE" w:rsidP="00645CDE">
      <w:pPr>
        <w:pStyle w:val="Heading3"/>
        <w:spacing w:before="147"/>
        <w:jc w:val="both"/>
      </w:pPr>
      <w:r>
        <w:rPr>
          <w:color w:val="BF5A14"/>
        </w:rPr>
        <w:t>Abstract (300 word limit)</w:t>
      </w:r>
    </w:p>
    <w:p w14:paraId="0B30BA15" w14:textId="68AD0AA8" w:rsidR="00645CDE" w:rsidRPr="00FB6DF2" w:rsidRDefault="00645CDE" w:rsidP="00921F39">
      <w:pPr>
        <w:pStyle w:val="Normal1"/>
        <w:spacing w:line="240" w:lineRule="auto"/>
        <w:ind w:firstLine="720"/>
        <w:rPr>
          <w:rFonts w:asciiTheme="minorHAnsi" w:hAnsiTheme="minorHAnsi" w:cstheme="minorHAnsi"/>
          <w:color w:val="auto"/>
        </w:rPr>
      </w:pPr>
      <w:r w:rsidRPr="00ED2E58">
        <w:rPr>
          <w:rFonts w:asciiTheme="minorHAnsi" w:hAnsiTheme="minorHAnsi" w:cstheme="minorHAnsi"/>
          <w:b/>
          <w:i/>
        </w:rPr>
        <w:t>Statement of the Problem:</w:t>
      </w:r>
      <w:r w:rsidRPr="00ED2E58">
        <w:rPr>
          <w:rFonts w:asciiTheme="minorHAnsi" w:hAnsiTheme="minorHAnsi" w:cstheme="minorHAnsi"/>
          <w:b/>
        </w:rPr>
        <w:t xml:space="preserve"> </w:t>
      </w:r>
      <w:r w:rsidR="00921F39">
        <w:rPr>
          <w:rFonts w:asciiTheme="minorHAnsi" w:hAnsiTheme="minorHAnsi" w:cstheme="minorHAnsi"/>
          <w:color w:val="auto"/>
        </w:rPr>
        <w:t xml:space="preserve">Digital health is an </w:t>
      </w:r>
      <w:r w:rsidR="00FB6DF2">
        <w:rPr>
          <w:rFonts w:asciiTheme="minorHAnsi" w:hAnsiTheme="minorHAnsi" w:cstheme="minorHAnsi"/>
          <w:color w:val="auto"/>
        </w:rPr>
        <w:t xml:space="preserve">area of </w:t>
      </w:r>
      <w:r w:rsidR="00921F39">
        <w:rPr>
          <w:rFonts w:asciiTheme="minorHAnsi" w:hAnsiTheme="minorHAnsi" w:cstheme="minorHAnsi"/>
          <w:color w:val="auto"/>
        </w:rPr>
        <w:t>interest</w:t>
      </w:r>
      <w:r w:rsidRPr="00ED2E58">
        <w:rPr>
          <w:rFonts w:asciiTheme="minorHAnsi" w:hAnsiTheme="minorHAnsi" w:cstheme="minorHAnsi"/>
          <w:color w:val="auto"/>
        </w:rPr>
        <w:t xml:space="preserve"> </w:t>
      </w:r>
      <w:r w:rsidR="00FB6DF2">
        <w:rPr>
          <w:rFonts w:asciiTheme="minorHAnsi" w:hAnsiTheme="minorHAnsi" w:cstheme="minorHAnsi"/>
          <w:color w:val="auto"/>
        </w:rPr>
        <w:t>for</w:t>
      </w:r>
      <w:r w:rsidRPr="00ED2E58">
        <w:rPr>
          <w:rFonts w:asciiTheme="minorHAnsi" w:hAnsiTheme="minorHAnsi" w:cstheme="minorHAnsi"/>
          <w:color w:val="auto"/>
        </w:rPr>
        <w:t xml:space="preserve"> research institutions and governments around the world due </w:t>
      </w:r>
      <w:r w:rsidR="00FB6DF2">
        <w:rPr>
          <w:rFonts w:asciiTheme="minorHAnsi" w:hAnsiTheme="minorHAnsi" w:cstheme="minorHAnsi"/>
          <w:color w:val="auto"/>
        </w:rPr>
        <w:t xml:space="preserve">to </w:t>
      </w:r>
      <w:r w:rsidR="00DB1775">
        <w:rPr>
          <w:rFonts w:asciiTheme="minorHAnsi" w:hAnsiTheme="minorHAnsi" w:cstheme="minorHAnsi"/>
          <w:color w:val="auto"/>
        </w:rPr>
        <w:t>its potential to limit</w:t>
      </w:r>
      <w:r w:rsidR="00FB6DF2">
        <w:rPr>
          <w:rFonts w:asciiTheme="minorHAnsi" w:hAnsiTheme="minorHAnsi" w:cstheme="minorHAnsi"/>
          <w:color w:val="auto"/>
        </w:rPr>
        <w:t xml:space="preserve"> </w:t>
      </w:r>
      <w:r w:rsidR="00A73331" w:rsidRPr="00ED2E58">
        <w:rPr>
          <w:rFonts w:asciiTheme="minorHAnsi" w:hAnsiTheme="minorHAnsi" w:cstheme="minorHAnsi"/>
          <w:color w:val="auto"/>
        </w:rPr>
        <w:t>the</w:t>
      </w:r>
      <w:r w:rsidR="00FB6DF2">
        <w:rPr>
          <w:rFonts w:asciiTheme="minorHAnsi" w:hAnsiTheme="minorHAnsi" w:cstheme="minorHAnsi"/>
          <w:color w:val="auto"/>
        </w:rPr>
        <w:t xml:space="preserve"> global</w:t>
      </w:r>
      <w:r w:rsidR="00A73331" w:rsidRPr="00ED2E58">
        <w:rPr>
          <w:rFonts w:asciiTheme="minorHAnsi" w:hAnsiTheme="minorHAnsi" w:cstheme="minorHAnsi"/>
          <w:color w:val="auto"/>
        </w:rPr>
        <w:t xml:space="preserve"> burden of disease</w:t>
      </w:r>
      <w:r w:rsidR="00DB1775">
        <w:rPr>
          <w:rFonts w:asciiTheme="minorHAnsi" w:hAnsiTheme="minorHAnsi" w:cstheme="minorHAnsi"/>
          <w:color w:val="auto"/>
        </w:rPr>
        <w:t xml:space="preserve"> through better disease prediction and prevention</w:t>
      </w:r>
      <w:r w:rsidRPr="00ED2E58">
        <w:rPr>
          <w:rFonts w:asciiTheme="minorHAnsi" w:hAnsiTheme="minorHAnsi" w:cstheme="minorHAnsi"/>
          <w:color w:val="auto"/>
        </w:rPr>
        <w:t>. In the digital age, law-makers have immense power over the pervasiveness of digital health technologies in our society</w:t>
      </w:r>
      <w:r w:rsidR="00FB6DF2">
        <w:rPr>
          <w:rFonts w:asciiTheme="minorHAnsi" w:hAnsiTheme="minorHAnsi" w:cstheme="minorHAnsi"/>
          <w:color w:val="auto"/>
        </w:rPr>
        <w:t>.</w:t>
      </w:r>
      <w:r w:rsidRPr="00ED2E58">
        <w:rPr>
          <w:rFonts w:asciiTheme="minorHAnsi" w:hAnsiTheme="minorHAnsi" w:cstheme="minorHAnsi"/>
          <w:color w:val="auto"/>
        </w:rPr>
        <w:t xml:space="preserve"> </w:t>
      </w:r>
      <w:r w:rsidR="00FB6DF2">
        <w:rPr>
          <w:rFonts w:asciiTheme="minorHAnsi" w:hAnsiTheme="minorHAnsi" w:cstheme="minorHAnsi"/>
          <w:color w:val="auto"/>
        </w:rPr>
        <w:t>Indeed, oftentimes</w:t>
      </w:r>
      <w:r w:rsidR="00DB1775">
        <w:rPr>
          <w:rFonts w:asciiTheme="minorHAnsi" w:hAnsiTheme="minorHAnsi" w:cstheme="minorHAnsi"/>
          <w:color w:val="auto"/>
        </w:rPr>
        <w:t>,</w:t>
      </w:r>
      <w:r w:rsidR="00ED3C67" w:rsidRPr="00ED2E58">
        <w:rPr>
          <w:rFonts w:asciiTheme="minorHAnsi" w:hAnsiTheme="minorHAnsi" w:cstheme="minorHAnsi"/>
          <w:color w:val="auto"/>
        </w:rPr>
        <w:t xml:space="preserve"> </w:t>
      </w:r>
      <w:r w:rsidR="00FB6DF2">
        <w:rPr>
          <w:rFonts w:asciiTheme="minorHAnsi" w:hAnsiTheme="minorHAnsi" w:cstheme="minorHAnsi"/>
          <w:color w:val="auto"/>
        </w:rPr>
        <w:t xml:space="preserve">it is </w:t>
      </w:r>
      <w:r w:rsidRPr="00ED2E58">
        <w:rPr>
          <w:rFonts w:asciiTheme="minorHAnsi" w:hAnsiTheme="minorHAnsi" w:cstheme="minorHAnsi"/>
          <w:color w:val="auto"/>
        </w:rPr>
        <w:t xml:space="preserve">the law </w:t>
      </w:r>
      <w:r w:rsidR="00921F39">
        <w:rPr>
          <w:rFonts w:asciiTheme="minorHAnsi" w:hAnsiTheme="minorHAnsi" w:cstheme="minorHAnsi"/>
          <w:color w:val="auto"/>
        </w:rPr>
        <w:t>which</w:t>
      </w:r>
      <w:r w:rsidR="00FB6DF2">
        <w:rPr>
          <w:rFonts w:asciiTheme="minorHAnsi" w:hAnsiTheme="minorHAnsi" w:cstheme="minorHAnsi"/>
          <w:color w:val="auto"/>
        </w:rPr>
        <w:t xml:space="preserve"> </w:t>
      </w:r>
      <w:r w:rsidRPr="00ED2E58">
        <w:rPr>
          <w:rFonts w:asciiTheme="minorHAnsi" w:hAnsiTheme="minorHAnsi" w:cstheme="minorHAnsi"/>
          <w:color w:val="auto"/>
        </w:rPr>
        <w:t xml:space="preserve">provides the foundations for </w:t>
      </w:r>
      <w:r w:rsidR="00FB6DF2">
        <w:rPr>
          <w:rFonts w:asciiTheme="minorHAnsi" w:hAnsiTheme="minorHAnsi" w:cstheme="minorHAnsi"/>
          <w:color w:val="auto"/>
        </w:rPr>
        <w:t xml:space="preserve">what is permissible or not; </w:t>
      </w:r>
      <w:r w:rsidR="00A73331" w:rsidRPr="00ED2E58">
        <w:rPr>
          <w:rFonts w:asciiTheme="minorHAnsi" w:hAnsiTheme="minorHAnsi" w:cstheme="minorHAnsi"/>
          <w:color w:val="auto"/>
        </w:rPr>
        <w:t>how</w:t>
      </w:r>
      <w:r w:rsidR="00ED3C67" w:rsidRPr="00ED2E58">
        <w:rPr>
          <w:rFonts w:asciiTheme="minorHAnsi" w:hAnsiTheme="minorHAnsi" w:cstheme="minorHAnsi"/>
          <w:color w:val="auto"/>
        </w:rPr>
        <w:t xml:space="preserve"> </w:t>
      </w:r>
      <w:r w:rsidRPr="00ED2E58">
        <w:rPr>
          <w:rFonts w:asciiTheme="minorHAnsi" w:hAnsiTheme="minorHAnsi" w:cstheme="minorHAnsi"/>
          <w:color w:val="auto"/>
        </w:rPr>
        <w:t xml:space="preserve">technologies </w:t>
      </w:r>
      <w:r w:rsidR="00A73331" w:rsidRPr="00ED2E58">
        <w:rPr>
          <w:rFonts w:asciiTheme="minorHAnsi" w:hAnsiTheme="minorHAnsi" w:cstheme="minorHAnsi"/>
          <w:color w:val="auto"/>
        </w:rPr>
        <w:t xml:space="preserve">can </w:t>
      </w:r>
      <w:r w:rsidR="00FB6DF2">
        <w:rPr>
          <w:rFonts w:asciiTheme="minorHAnsi" w:hAnsiTheme="minorHAnsi" w:cstheme="minorHAnsi"/>
          <w:color w:val="auto"/>
        </w:rPr>
        <w:t xml:space="preserve">be created, </w:t>
      </w:r>
      <w:r w:rsidR="00A73331" w:rsidRPr="00ED2E58">
        <w:rPr>
          <w:rFonts w:asciiTheme="minorHAnsi" w:hAnsiTheme="minorHAnsi" w:cstheme="minorHAnsi"/>
          <w:color w:val="auto"/>
        </w:rPr>
        <w:t xml:space="preserve">developed and </w:t>
      </w:r>
      <w:r w:rsidR="00FB6DF2">
        <w:rPr>
          <w:rFonts w:asciiTheme="minorHAnsi" w:hAnsiTheme="minorHAnsi" w:cstheme="minorHAnsi"/>
          <w:color w:val="auto"/>
        </w:rPr>
        <w:t>used clinically</w:t>
      </w:r>
      <w:r w:rsidR="00DB1775">
        <w:rPr>
          <w:rFonts w:asciiTheme="minorHAnsi" w:hAnsiTheme="minorHAnsi" w:cstheme="minorHAnsi"/>
          <w:color w:val="auto"/>
        </w:rPr>
        <w:t xml:space="preserve"> or commercially</w:t>
      </w:r>
      <w:r w:rsidRPr="00ED2E58">
        <w:rPr>
          <w:rFonts w:asciiTheme="minorHAnsi" w:hAnsiTheme="minorHAnsi" w:cstheme="minorHAnsi"/>
          <w:color w:val="auto"/>
        </w:rPr>
        <w:t xml:space="preserve">.  </w:t>
      </w:r>
      <w:r w:rsidR="00A73331" w:rsidRPr="00ED2E58">
        <w:rPr>
          <w:rFonts w:asciiTheme="minorHAnsi" w:hAnsiTheme="minorHAnsi" w:cstheme="minorHAnsi"/>
          <w:color w:val="auto"/>
        </w:rPr>
        <w:t>T</w:t>
      </w:r>
      <w:r w:rsidRPr="00ED2E58">
        <w:rPr>
          <w:rFonts w:asciiTheme="minorHAnsi" w:hAnsiTheme="minorHAnsi" w:cstheme="minorHAnsi"/>
          <w:color w:val="auto"/>
        </w:rPr>
        <w:t>he law may</w:t>
      </w:r>
      <w:r w:rsidR="00A73331" w:rsidRPr="00ED2E58">
        <w:rPr>
          <w:rFonts w:asciiTheme="minorHAnsi" w:hAnsiTheme="minorHAnsi" w:cstheme="minorHAnsi"/>
          <w:color w:val="auto"/>
        </w:rPr>
        <w:t xml:space="preserve"> also</w:t>
      </w:r>
      <w:r w:rsidRPr="00ED2E58">
        <w:rPr>
          <w:rFonts w:asciiTheme="minorHAnsi" w:hAnsiTheme="minorHAnsi" w:cstheme="minorHAnsi"/>
          <w:color w:val="auto"/>
        </w:rPr>
        <w:t xml:space="preserve"> </w:t>
      </w:r>
      <w:r w:rsidR="00ED3C67" w:rsidRPr="00ED2E58">
        <w:rPr>
          <w:rFonts w:asciiTheme="minorHAnsi" w:hAnsiTheme="minorHAnsi" w:cstheme="minorHAnsi"/>
          <w:color w:val="auto"/>
        </w:rPr>
        <w:t>establish</w:t>
      </w:r>
      <w:r w:rsidRPr="00ED2E58">
        <w:rPr>
          <w:rFonts w:asciiTheme="minorHAnsi" w:hAnsiTheme="minorHAnsi" w:cstheme="minorHAnsi"/>
          <w:color w:val="auto"/>
        </w:rPr>
        <w:t xml:space="preserve"> rules </w:t>
      </w:r>
      <w:r w:rsidR="00DB1775">
        <w:rPr>
          <w:rFonts w:asciiTheme="minorHAnsi" w:hAnsiTheme="minorHAnsi" w:cstheme="minorHAnsi"/>
          <w:color w:val="auto"/>
        </w:rPr>
        <w:t>that impact on</w:t>
      </w:r>
      <w:r w:rsidR="00FB6DF2">
        <w:rPr>
          <w:rFonts w:asciiTheme="minorHAnsi" w:hAnsiTheme="minorHAnsi" w:cstheme="minorHAnsi"/>
          <w:color w:val="auto"/>
        </w:rPr>
        <w:t xml:space="preserve"> </w:t>
      </w:r>
      <w:r w:rsidR="00921F39">
        <w:rPr>
          <w:rFonts w:asciiTheme="minorHAnsi" w:hAnsiTheme="minorHAnsi" w:cstheme="minorHAnsi"/>
          <w:color w:val="auto"/>
        </w:rPr>
        <w:t>civil rights, privacy, security and</w:t>
      </w:r>
      <w:r w:rsidR="00ED3C67" w:rsidRPr="00ED2E58">
        <w:rPr>
          <w:rFonts w:asciiTheme="minorHAnsi" w:hAnsiTheme="minorHAnsi" w:cstheme="minorHAnsi"/>
          <w:color w:val="auto"/>
        </w:rPr>
        <w:t xml:space="preserve"> data</w:t>
      </w:r>
      <w:r w:rsidR="00921F39">
        <w:rPr>
          <w:rFonts w:asciiTheme="minorHAnsi" w:hAnsiTheme="minorHAnsi" w:cstheme="minorHAnsi"/>
          <w:color w:val="auto"/>
        </w:rPr>
        <w:t xml:space="preserve"> ownership</w:t>
      </w:r>
      <w:r w:rsidR="00DB1775">
        <w:rPr>
          <w:rFonts w:asciiTheme="minorHAnsi" w:hAnsiTheme="minorHAnsi" w:cstheme="minorHAnsi"/>
          <w:color w:val="auto"/>
        </w:rPr>
        <w:t xml:space="preserve"> which are fundamental societal issues</w:t>
      </w:r>
      <w:r w:rsidRPr="00ED2E58">
        <w:rPr>
          <w:rFonts w:asciiTheme="minorHAnsi" w:hAnsiTheme="minorHAnsi" w:cstheme="minorHAnsi"/>
          <w:color w:val="auto"/>
        </w:rPr>
        <w:t>.</w:t>
      </w:r>
      <w:r w:rsidR="00A73331" w:rsidRPr="00ED2E58">
        <w:rPr>
          <w:rFonts w:asciiTheme="minorHAnsi" w:hAnsiTheme="minorHAnsi" w:cstheme="minorHAnsi"/>
          <w:color w:val="auto"/>
        </w:rPr>
        <w:t xml:space="preserve"> </w:t>
      </w:r>
      <w:r w:rsidR="00DB1775">
        <w:rPr>
          <w:rFonts w:asciiTheme="minorHAnsi" w:hAnsiTheme="minorHAnsi" w:cstheme="minorHAnsi"/>
          <w:color w:val="auto"/>
        </w:rPr>
        <w:t>This research considers</w:t>
      </w:r>
      <w:r w:rsidRPr="00ED2E58">
        <w:rPr>
          <w:rFonts w:asciiTheme="minorHAnsi" w:hAnsiTheme="minorHAnsi" w:cstheme="minorHAnsi"/>
          <w:color w:val="auto"/>
        </w:rPr>
        <w:t xml:space="preserve"> a case study to examine how laws are made</w:t>
      </w:r>
      <w:r w:rsidR="00921F39">
        <w:rPr>
          <w:rFonts w:asciiTheme="minorHAnsi" w:hAnsiTheme="minorHAnsi" w:cstheme="minorHAnsi"/>
          <w:color w:val="auto"/>
        </w:rPr>
        <w:t xml:space="preserve"> </w:t>
      </w:r>
      <w:r w:rsidR="00DB1775">
        <w:rPr>
          <w:rFonts w:asciiTheme="minorHAnsi" w:hAnsiTheme="minorHAnsi" w:cstheme="minorHAnsi"/>
          <w:color w:val="auto"/>
        </w:rPr>
        <w:t>with</w:t>
      </w:r>
      <w:r w:rsidR="00921F39">
        <w:rPr>
          <w:rFonts w:asciiTheme="minorHAnsi" w:hAnsiTheme="minorHAnsi" w:cstheme="minorHAnsi"/>
          <w:color w:val="auto"/>
        </w:rPr>
        <w:t xml:space="preserve">in a specific </w:t>
      </w:r>
      <w:r w:rsidR="00DB1775">
        <w:rPr>
          <w:rFonts w:asciiTheme="minorHAnsi" w:hAnsiTheme="minorHAnsi" w:cstheme="minorHAnsi"/>
          <w:color w:val="auto"/>
        </w:rPr>
        <w:t>field</w:t>
      </w:r>
      <w:r w:rsidR="00921F39">
        <w:rPr>
          <w:rFonts w:asciiTheme="minorHAnsi" w:hAnsiTheme="minorHAnsi" w:cstheme="minorHAnsi"/>
          <w:color w:val="auto"/>
        </w:rPr>
        <w:t xml:space="preserve"> of digital health</w:t>
      </w:r>
      <w:r w:rsidR="00DB1775">
        <w:rPr>
          <w:rFonts w:asciiTheme="minorHAnsi" w:hAnsiTheme="minorHAnsi" w:cstheme="minorHAnsi"/>
          <w:color w:val="auto"/>
        </w:rPr>
        <w:t xml:space="preserve"> to determine the extent by which substantive legal issues were considered by law-makers, and how accountable law-makers were for the reasons of their decisions</w:t>
      </w:r>
      <w:r w:rsidRPr="00ED2E58">
        <w:rPr>
          <w:rFonts w:asciiTheme="minorHAnsi" w:hAnsiTheme="minorHAnsi" w:cstheme="minorHAnsi"/>
          <w:color w:val="auto"/>
        </w:rPr>
        <w:t>. The case study was the Australian My Health Record</w:t>
      </w:r>
      <w:r w:rsidR="00A73331" w:rsidRPr="00ED2E58">
        <w:rPr>
          <w:rFonts w:asciiTheme="minorHAnsi" w:hAnsiTheme="minorHAnsi" w:cstheme="minorHAnsi"/>
          <w:color w:val="auto"/>
        </w:rPr>
        <w:t xml:space="preserve"> System (national e-health</w:t>
      </w:r>
      <w:r w:rsidR="00921F39">
        <w:rPr>
          <w:rFonts w:asciiTheme="minorHAnsi" w:hAnsiTheme="minorHAnsi" w:cstheme="minorHAnsi"/>
          <w:color w:val="auto"/>
        </w:rPr>
        <w:t xml:space="preserve"> record</w:t>
      </w:r>
      <w:r w:rsidR="00A73331" w:rsidRPr="00ED2E58">
        <w:rPr>
          <w:rFonts w:asciiTheme="minorHAnsi" w:hAnsiTheme="minorHAnsi" w:cstheme="minorHAnsi"/>
          <w:color w:val="auto"/>
        </w:rPr>
        <w:t xml:space="preserve"> system</w:t>
      </w:r>
      <w:r w:rsidR="00A73331" w:rsidRPr="00ED2E58">
        <w:rPr>
          <w:rFonts w:asciiTheme="minorHAnsi" w:hAnsiTheme="minorHAnsi" w:cstheme="minorHAnsi"/>
          <w:i/>
          <w:color w:val="auto"/>
        </w:rPr>
        <w:t>)</w:t>
      </w:r>
      <w:r w:rsidRPr="00ED2E58">
        <w:rPr>
          <w:rFonts w:asciiTheme="minorHAnsi" w:hAnsiTheme="minorHAnsi" w:cstheme="minorHAnsi"/>
          <w:i/>
          <w:color w:val="auto"/>
        </w:rPr>
        <w:t xml:space="preserve">.  </w:t>
      </w:r>
      <w:r w:rsidRPr="00ED2E58">
        <w:rPr>
          <w:rFonts w:asciiTheme="minorHAnsi" w:hAnsiTheme="minorHAnsi" w:cstheme="minorHAnsi"/>
          <w:b/>
          <w:i/>
        </w:rPr>
        <w:t>Methodology &amp; Theoretical Orientation:</w:t>
      </w:r>
      <w:r w:rsidRPr="00ED2E58">
        <w:rPr>
          <w:rFonts w:asciiTheme="minorHAnsi" w:hAnsiTheme="minorHAnsi" w:cstheme="minorHAnsi"/>
        </w:rPr>
        <w:t xml:space="preserve"> A historical documentary review of public record information was undertaken to ascertain </w:t>
      </w:r>
      <w:r w:rsidR="00921F39">
        <w:rPr>
          <w:rFonts w:asciiTheme="minorHAnsi" w:hAnsiTheme="minorHAnsi" w:cstheme="minorHAnsi"/>
        </w:rPr>
        <w:t xml:space="preserve">information </w:t>
      </w:r>
      <w:r w:rsidR="00DB1775">
        <w:rPr>
          <w:rFonts w:asciiTheme="minorHAnsi" w:hAnsiTheme="minorHAnsi" w:cstheme="minorHAnsi"/>
        </w:rPr>
        <w:t>on</w:t>
      </w:r>
      <w:r w:rsidRPr="00ED2E58">
        <w:rPr>
          <w:rFonts w:asciiTheme="minorHAnsi" w:hAnsiTheme="minorHAnsi" w:cstheme="minorHAnsi"/>
        </w:rPr>
        <w:t xml:space="preserve"> law-making</w:t>
      </w:r>
      <w:r w:rsidR="00921F39">
        <w:rPr>
          <w:rFonts w:asciiTheme="minorHAnsi" w:hAnsiTheme="minorHAnsi" w:cstheme="minorHAnsi"/>
        </w:rPr>
        <w:t xml:space="preserve"> </w:t>
      </w:r>
      <w:r w:rsidR="00DB1775">
        <w:rPr>
          <w:rFonts w:asciiTheme="minorHAnsi" w:hAnsiTheme="minorHAnsi" w:cstheme="minorHAnsi"/>
        </w:rPr>
        <w:t xml:space="preserve">processes </w:t>
      </w:r>
      <w:r w:rsidR="00921F39">
        <w:rPr>
          <w:rFonts w:asciiTheme="minorHAnsi" w:hAnsiTheme="minorHAnsi" w:cstheme="minorHAnsi"/>
        </w:rPr>
        <w:t>utilised</w:t>
      </w:r>
      <w:r w:rsidRPr="00ED2E58">
        <w:rPr>
          <w:rFonts w:asciiTheme="minorHAnsi" w:hAnsiTheme="minorHAnsi" w:cstheme="minorHAnsi"/>
        </w:rPr>
        <w:t xml:space="preserve">. </w:t>
      </w:r>
      <w:r w:rsidR="00214F6A" w:rsidRPr="00ED2E58">
        <w:rPr>
          <w:rFonts w:asciiTheme="minorHAnsi" w:hAnsiTheme="minorHAnsi" w:cstheme="minorHAnsi"/>
        </w:rPr>
        <w:t>The theoretical basis for the review was the legal process school, established by former Harvard Law Professors</w:t>
      </w:r>
      <w:r w:rsidR="00921F39">
        <w:rPr>
          <w:rFonts w:asciiTheme="minorHAnsi" w:hAnsiTheme="minorHAnsi" w:cstheme="minorHAnsi"/>
        </w:rPr>
        <w:t>,</w:t>
      </w:r>
      <w:r w:rsidR="00214F6A" w:rsidRPr="00ED2E58">
        <w:rPr>
          <w:rFonts w:asciiTheme="minorHAnsi" w:hAnsiTheme="minorHAnsi" w:cstheme="minorHAnsi"/>
        </w:rPr>
        <w:t xml:space="preserve"> Henry Hart and Albert Sacks. </w:t>
      </w:r>
      <w:r w:rsidRPr="00ED2E58">
        <w:rPr>
          <w:rFonts w:asciiTheme="minorHAnsi" w:hAnsiTheme="minorHAnsi" w:cstheme="minorHAnsi"/>
          <w:b/>
          <w:i/>
        </w:rPr>
        <w:t>Preliminary Findings:</w:t>
      </w:r>
      <w:r w:rsidR="00921F39">
        <w:rPr>
          <w:rFonts w:asciiTheme="minorHAnsi" w:hAnsiTheme="minorHAnsi" w:cstheme="minorHAnsi"/>
        </w:rPr>
        <w:t xml:space="preserve"> T</w:t>
      </w:r>
      <w:r w:rsidR="00701B3E" w:rsidRPr="00ED2E58">
        <w:rPr>
          <w:rFonts w:asciiTheme="minorHAnsi" w:hAnsiTheme="minorHAnsi" w:cstheme="minorHAnsi"/>
        </w:rPr>
        <w:t>he law-making process</w:t>
      </w:r>
      <w:r w:rsidR="00921F39">
        <w:rPr>
          <w:rFonts w:asciiTheme="minorHAnsi" w:hAnsiTheme="minorHAnsi" w:cstheme="minorHAnsi"/>
        </w:rPr>
        <w:t xml:space="preserve"> for Australia</w:t>
      </w:r>
      <w:r w:rsidR="00DB1775">
        <w:rPr>
          <w:rFonts w:asciiTheme="minorHAnsi" w:hAnsiTheme="minorHAnsi" w:cstheme="minorHAnsi"/>
        </w:rPr>
        <w:t>n</w:t>
      </w:r>
      <w:r w:rsidR="00921F39">
        <w:rPr>
          <w:rFonts w:asciiTheme="minorHAnsi" w:hAnsiTheme="minorHAnsi" w:cstheme="minorHAnsi"/>
        </w:rPr>
        <w:t xml:space="preserve"> e-health</w:t>
      </w:r>
      <w:r w:rsidR="00DB1775">
        <w:rPr>
          <w:rFonts w:asciiTheme="minorHAnsi" w:hAnsiTheme="minorHAnsi" w:cstheme="minorHAnsi"/>
        </w:rPr>
        <w:t xml:space="preserve"> record</w:t>
      </w:r>
      <w:r w:rsidR="00921F39">
        <w:rPr>
          <w:rFonts w:asciiTheme="minorHAnsi" w:hAnsiTheme="minorHAnsi" w:cstheme="minorHAnsi"/>
        </w:rPr>
        <w:t xml:space="preserve"> system</w:t>
      </w:r>
      <w:r w:rsidR="00701B3E" w:rsidRPr="00ED2E58">
        <w:rPr>
          <w:rFonts w:asciiTheme="minorHAnsi" w:hAnsiTheme="minorHAnsi" w:cstheme="minorHAnsi"/>
        </w:rPr>
        <w:t xml:space="preserve"> did not </w:t>
      </w:r>
      <w:r w:rsidR="00214F6A" w:rsidRPr="00ED2E58">
        <w:rPr>
          <w:rFonts w:asciiTheme="minorHAnsi" w:hAnsiTheme="minorHAnsi" w:cstheme="minorHAnsi"/>
        </w:rPr>
        <w:t xml:space="preserve">encourage the production of high-quality references </w:t>
      </w:r>
      <w:r w:rsidR="00921F39">
        <w:rPr>
          <w:rFonts w:asciiTheme="minorHAnsi" w:hAnsiTheme="minorHAnsi" w:cstheme="minorHAnsi"/>
        </w:rPr>
        <w:t xml:space="preserve">in support of statements </w:t>
      </w:r>
      <w:r w:rsidR="00DB1775">
        <w:rPr>
          <w:rFonts w:asciiTheme="minorHAnsi" w:hAnsiTheme="minorHAnsi" w:cstheme="minorHAnsi"/>
        </w:rPr>
        <w:t>of</w:t>
      </w:r>
      <w:r w:rsidR="00921F39">
        <w:rPr>
          <w:rFonts w:asciiTheme="minorHAnsi" w:hAnsiTheme="minorHAnsi" w:cstheme="minorHAnsi"/>
        </w:rPr>
        <w:t xml:space="preserve"> clinical efficacy</w:t>
      </w:r>
      <w:r w:rsidR="00214F6A" w:rsidRPr="00ED2E58">
        <w:rPr>
          <w:rFonts w:asciiTheme="minorHAnsi" w:hAnsiTheme="minorHAnsi" w:cstheme="minorHAnsi"/>
        </w:rPr>
        <w:t>.</w:t>
      </w:r>
      <w:r w:rsidR="00ED2E58" w:rsidRPr="00ED2E58">
        <w:rPr>
          <w:rFonts w:asciiTheme="minorHAnsi" w:hAnsiTheme="minorHAnsi" w:cstheme="minorHAnsi"/>
        </w:rPr>
        <w:t xml:space="preserve"> </w:t>
      </w:r>
      <w:r w:rsidR="00921F39">
        <w:rPr>
          <w:rFonts w:asciiTheme="minorHAnsi" w:hAnsiTheme="minorHAnsi" w:cstheme="minorHAnsi"/>
        </w:rPr>
        <w:t>Further, a</w:t>
      </w:r>
      <w:r w:rsidR="00ED2E58" w:rsidRPr="00ED2E58">
        <w:rPr>
          <w:rFonts w:asciiTheme="minorHAnsi" w:hAnsiTheme="minorHAnsi" w:cstheme="minorHAnsi"/>
        </w:rPr>
        <w:t xml:space="preserve">t times, no references were provided </w:t>
      </w:r>
      <w:r w:rsidR="00921F39">
        <w:rPr>
          <w:rFonts w:asciiTheme="minorHAnsi" w:hAnsiTheme="minorHAnsi" w:cstheme="minorHAnsi"/>
        </w:rPr>
        <w:t xml:space="preserve">to support </w:t>
      </w:r>
      <w:r w:rsidR="00ED2E58" w:rsidRPr="00ED2E58">
        <w:rPr>
          <w:rFonts w:asciiTheme="minorHAnsi" w:hAnsiTheme="minorHAnsi" w:cstheme="minorHAnsi"/>
        </w:rPr>
        <w:t>statements of clinical efficacy.</w:t>
      </w:r>
      <w:r w:rsidR="00214F6A" w:rsidRPr="00ED2E58">
        <w:rPr>
          <w:rFonts w:asciiTheme="minorHAnsi" w:hAnsiTheme="minorHAnsi" w:cstheme="minorHAnsi"/>
        </w:rPr>
        <w:t xml:space="preserve"> </w:t>
      </w:r>
      <w:r w:rsidR="00921F39">
        <w:rPr>
          <w:rFonts w:asciiTheme="minorHAnsi" w:hAnsiTheme="minorHAnsi" w:cstheme="minorHAnsi"/>
        </w:rPr>
        <w:t>Additionally, it was found that</w:t>
      </w:r>
      <w:r w:rsidR="00214F6A" w:rsidRPr="00ED2E58">
        <w:rPr>
          <w:rFonts w:asciiTheme="minorHAnsi" w:hAnsiTheme="minorHAnsi" w:cstheme="minorHAnsi"/>
        </w:rPr>
        <w:t xml:space="preserve"> </w:t>
      </w:r>
      <w:r w:rsidR="00921F39">
        <w:rPr>
          <w:rFonts w:asciiTheme="minorHAnsi" w:hAnsiTheme="minorHAnsi" w:cstheme="minorHAnsi"/>
        </w:rPr>
        <w:t>substanti</w:t>
      </w:r>
      <w:r w:rsidR="00DB1775">
        <w:rPr>
          <w:rFonts w:asciiTheme="minorHAnsi" w:hAnsiTheme="minorHAnsi" w:cstheme="minorHAnsi"/>
        </w:rPr>
        <w:t xml:space="preserve">ve </w:t>
      </w:r>
      <w:r w:rsidR="00921F39">
        <w:rPr>
          <w:rFonts w:asciiTheme="minorHAnsi" w:hAnsiTheme="minorHAnsi" w:cstheme="minorHAnsi"/>
        </w:rPr>
        <w:t xml:space="preserve">legal issues were not appropriately assessed, including those of </w:t>
      </w:r>
      <w:r w:rsidR="00214F6A" w:rsidRPr="00ED2E58">
        <w:rPr>
          <w:rFonts w:asciiTheme="minorHAnsi" w:hAnsiTheme="minorHAnsi" w:cstheme="minorHAnsi"/>
        </w:rPr>
        <w:t xml:space="preserve">data ownership </w:t>
      </w:r>
      <w:r w:rsidR="00921F39">
        <w:rPr>
          <w:rFonts w:asciiTheme="minorHAnsi" w:hAnsiTheme="minorHAnsi" w:cstheme="minorHAnsi"/>
        </w:rPr>
        <w:t>and human</w:t>
      </w:r>
      <w:r w:rsidR="00214F6A" w:rsidRPr="00ED2E58">
        <w:rPr>
          <w:rFonts w:asciiTheme="minorHAnsi" w:hAnsiTheme="minorHAnsi" w:cstheme="minorHAnsi"/>
        </w:rPr>
        <w:t xml:space="preserve"> rights</w:t>
      </w:r>
      <w:r w:rsidR="00921F39">
        <w:rPr>
          <w:rFonts w:asciiTheme="minorHAnsi" w:hAnsiTheme="minorHAnsi" w:cstheme="minorHAnsi"/>
        </w:rPr>
        <w:t>, despite the fact that human rights concerns were brought to the attention of the federal government by the Parliamentary Joint Committee on Human Rights, and the Human Rights Commission.</w:t>
      </w:r>
      <w:r w:rsidR="00214F6A" w:rsidRPr="00ED2E58">
        <w:rPr>
          <w:rFonts w:asciiTheme="minorHAnsi" w:hAnsiTheme="minorHAnsi" w:cstheme="minorHAnsi"/>
        </w:rPr>
        <w:t xml:space="preserve"> </w:t>
      </w:r>
      <w:r w:rsidR="00214F6A" w:rsidRPr="00ED2E58">
        <w:rPr>
          <w:rFonts w:asciiTheme="minorHAnsi" w:hAnsiTheme="minorHAnsi" w:cstheme="minorHAnsi"/>
          <w:b/>
          <w:i/>
        </w:rPr>
        <w:t>Recommendations:</w:t>
      </w:r>
      <w:r w:rsidR="00214F6A" w:rsidRPr="00ED2E58">
        <w:rPr>
          <w:rFonts w:asciiTheme="minorHAnsi" w:hAnsiTheme="minorHAnsi" w:cstheme="minorHAnsi"/>
          <w:i/>
        </w:rPr>
        <w:t xml:space="preserve"> </w:t>
      </w:r>
      <w:r w:rsidR="00214F6A" w:rsidRPr="00ED2E58">
        <w:rPr>
          <w:rFonts w:asciiTheme="minorHAnsi" w:hAnsiTheme="minorHAnsi" w:cstheme="minorHAnsi"/>
        </w:rPr>
        <w:t>The paper proposes a</w:t>
      </w:r>
      <w:r w:rsidR="00ED2E58" w:rsidRPr="00ED2E58">
        <w:rPr>
          <w:rFonts w:asciiTheme="minorHAnsi" w:hAnsiTheme="minorHAnsi" w:cstheme="minorHAnsi"/>
        </w:rPr>
        <w:t xml:space="preserve"> </w:t>
      </w:r>
      <w:r w:rsidR="00214F6A" w:rsidRPr="00ED2E58">
        <w:rPr>
          <w:rFonts w:asciiTheme="minorHAnsi" w:hAnsiTheme="minorHAnsi" w:cstheme="minorHAnsi"/>
        </w:rPr>
        <w:t>framework</w:t>
      </w:r>
      <w:r w:rsidR="0054130C">
        <w:rPr>
          <w:rFonts w:asciiTheme="minorHAnsi" w:hAnsiTheme="minorHAnsi" w:cstheme="minorHAnsi"/>
        </w:rPr>
        <w:t xml:space="preserve"> for law-making. It comprises of </w:t>
      </w:r>
      <w:r w:rsidR="00B64875">
        <w:rPr>
          <w:rFonts w:asciiTheme="minorHAnsi" w:hAnsiTheme="minorHAnsi" w:cstheme="minorHAnsi"/>
        </w:rPr>
        <w:t xml:space="preserve">a series of </w:t>
      </w:r>
      <w:r w:rsidR="0054130C">
        <w:rPr>
          <w:rFonts w:asciiTheme="minorHAnsi" w:hAnsiTheme="minorHAnsi" w:cstheme="minorHAnsi"/>
        </w:rPr>
        <w:t xml:space="preserve">broad </w:t>
      </w:r>
      <w:r w:rsidR="00B64875">
        <w:rPr>
          <w:rFonts w:asciiTheme="minorHAnsi" w:hAnsiTheme="minorHAnsi" w:cstheme="minorHAnsi"/>
        </w:rPr>
        <w:t>considerations for law-makers</w:t>
      </w:r>
      <w:r w:rsidR="00214F6A" w:rsidRPr="00ED2E58">
        <w:rPr>
          <w:rFonts w:asciiTheme="minorHAnsi" w:hAnsiTheme="minorHAnsi" w:cstheme="minorHAnsi"/>
        </w:rPr>
        <w:t xml:space="preserve"> in the field of digital health</w:t>
      </w:r>
      <w:r w:rsidR="00B64875">
        <w:rPr>
          <w:rFonts w:asciiTheme="minorHAnsi" w:hAnsiTheme="minorHAnsi" w:cstheme="minorHAnsi"/>
        </w:rPr>
        <w:t xml:space="preserve">. The framework could have applications from the level of private decision-making through to legislative decision-making, and </w:t>
      </w:r>
      <w:r w:rsidR="00DB1775">
        <w:rPr>
          <w:rFonts w:asciiTheme="minorHAnsi" w:hAnsiTheme="minorHAnsi" w:cstheme="minorHAnsi"/>
        </w:rPr>
        <w:t xml:space="preserve">with further assessment, </w:t>
      </w:r>
      <w:r w:rsidR="0054130C">
        <w:rPr>
          <w:rFonts w:asciiTheme="minorHAnsi" w:hAnsiTheme="minorHAnsi" w:cstheme="minorHAnsi"/>
        </w:rPr>
        <w:t xml:space="preserve">it </w:t>
      </w:r>
      <w:r w:rsidR="00B64875">
        <w:rPr>
          <w:rFonts w:asciiTheme="minorHAnsi" w:hAnsiTheme="minorHAnsi" w:cstheme="minorHAnsi"/>
        </w:rPr>
        <w:t>could potentially be applied across jurisdictions.</w:t>
      </w:r>
      <w:r w:rsidR="00921F39">
        <w:rPr>
          <w:rFonts w:asciiTheme="minorHAnsi" w:hAnsiTheme="minorHAnsi" w:cstheme="minorHAnsi"/>
        </w:rPr>
        <w:t xml:space="preserve"> </w:t>
      </w:r>
      <w:r w:rsidR="00ED2E58" w:rsidRPr="00ED2E58">
        <w:rPr>
          <w:rFonts w:asciiTheme="minorHAnsi" w:hAnsiTheme="minorHAnsi" w:cstheme="minorHAnsi"/>
        </w:rPr>
        <w:t xml:space="preserve">The </w:t>
      </w:r>
      <w:r w:rsidR="00B64875">
        <w:rPr>
          <w:rFonts w:asciiTheme="minorHAnsi" w:hAnsiTheme="minorHAnsi" w:cstheme="minorHAnsi"/>
        </w:rPr>
        <w:t xml:space="preserve">proposed </w:t>
      </w:r>
      <w:r w:rsidR="00DB1775">
        <w:rPr>
          <w:rFonts w:asciiTheme="minorHAnsi" w:hAnsiTheme="minorHAnsi" w:cstheme="minorHAnsi"/>
        </w:rPr>
        <w:t>framework consists of</w:t>
      </w:r>
      <w:r w:rsidR="00ED2E58" w:rsidRPr="00ED2E58">
        <w:rPr>
          <w:rFonts w:asciiTheme="minorHAnsi" w:hAnsiTheme="minorHAnsi" w:cstheme="minorHAnsi"/>
        </w:rPr>
        <w:t xml:space="preserve"> </w:t>
      </w:r>
      <w:r w:rsidR="00214F6A" w:rsidRPr="00ED2E58">
        <w:rPr>
          <w:rFonts w:asciiTheme="minorHAnsi" w:hAnsiTheme="minorHAnsi" w:cstheme="minorHAnsi"/>
        </w:rPr>
        <w:t>8 pillars of law-making</w:t>
      </w:r>
      <w:r w:rsidR="00ED2E58" w:rsidRPr="00ED2E58">
        <w:rPr>
          <w:rFonts w:asciiTheme="minorHAnsi" w:hAnsiTheme="minorHAnsi" w:cstheme="minorHAnsi"/>
        </w:rPr>
        <w:t xml:space="preserve"> </w:t>
      </w:r>
      <w:r w:rsidR="00B64875">
        <w:rPr>
          <w:rFonts w:asciiTheme="minorHAnsi" w:hAnsiTheme="minorHAnsi" w:cstheme="minorHAnsi"/>
        </w:rPr>
        <w:t xml:space="preserve">founded on </w:t>
      </w:r>
      <w:r w:rsidR="00DB1775">
        <w:rPr>
          <w:rFonts w:asciiTheme="minorHAnsi" w:hAnsiTheme="minorHAnsi" w:cstheme="minorHAnsi"/>
        </w:rPr>
        <w:t xml:space="preserve">the </w:t>
      </w:r>
      <w:r w:rsidR="0054130C">
        <w:rPr>
          <w:rFonts w:asciiTheme="minorHAnsi" w:hAnsiTheme="minorHAnsi" w:cstheme="minorHAnsi"/>
        </w:rPr>
        <w:t>belief</w:t>
      </w:r>
      <w:r w:rsidR="00DB1775">
        <w:rPr>
          <w:rFonts w:asciiTheme="minorHAnsi" w:hAnsiTheme="minorHAnsi" w:cstheme="minorHAnsi"/>
        </w:rPr>
        <w:t xml:space="preserve"> that</w:t>
      </w:r>
      <w:r w:rsidR="00B64875">
        <w:rPr>
          <w:rFonts w:asciiTheme="minorHAnsi" w:hAnsiTheme="minorHAnsi" w:cstheme="minorHAnsi"/>
        </w:rPr>
        <w:t xml:space="preserve"> </w:t>
      </w:r>
      <w:r w:rsidR="00ED2E58" w:rsidRPr="00ED2E58">
        <w:rPr>
          <w:rFonts w:asciiTheme="minorHAnsi" w:hAnsiTheme="minorHAnsi" w:cstheme="minorHAnsi"/>
          <w:shd w:val="clear" w:color="auto" w:fill="FFFFFF"/>
        </w:rPr>
        <w:t xml:space="preserve">principles of human rights, </w:t>
      </w:r>
      <w:r w:rsidR="00ED2E58" w:rsidRPr="00ED2E58">
        <w:rPr>
          <w:rFonts w:asciiTheme="minorHAnsi" w:hAnsiTheme="minorHAnsi" w:cstheme="minorHAnsi"/>
          <w:shd w:val="clear" w:color="auto" w:fill="FFFFFF"/>
        </w:rPr>
        <w:t>clinical and societal benefit, as well as harm</w:t>
      </w:r>
      <w:r w:rsidR="006A7765">
        <w:rPr>
          <w:rFonts w:asciiTheme="minorHAnsi" w:hAnsiTheme="minorHAnsi" w:cstheme="minorHAnsi"/>
          <w:shd w:val="clear" w:color="auto" w:fill="FFFFFF"/>
        </w:rPr>
        <w:t xml:space="preserve"> and risk</w:t>
      </w:r>
      <w:r w:rsidR="00ED2E58" w:rsidRPr="00ED2E58">
        <w:rPr>
          <w:rFonts w:asciiTheme="minorHAnsi" w:hAnsiTheme="minorHAnsi" w:cstheme="minorHAnsi"/>
          <w:shd w:val="clear" w:color="auto" w:fill="FFFFFF"/>
        </w:rPr>
        <w:t xml:space="preserve"> reduction</w:t>
      </w:r>
      <w:r w:rsidR="00B64875">
        <w:rPr>
          <w:rFonts w:asciiTheme="minorHAnsi" w:hAnsiTheme="minorHAnsi" w:cstheme="minorHAnsi"/>
          <w:shd w:val="clear" w:color="auto" w:fill="FFFFFF"/>
        </w:rPr>
        <w:t xml:space="preserve"> are essential </w:t>
      </w:r>
      <w:r w:rsidR="003500ED">
        <w:rPr>
          <w:rFonts w:asciiTheme="minorHAnsi" w:hAnsiTheme="minorHAnsi" w:cstheme="minorHAnsi"/>
          <w:shd w:val="clear" w:color="auto" w:fill="FFFFFF"/>
        </w:rPr>
        <w:t>considerations of</w:t>
      </w:r>
      <w:bookmarkStart w:id="0" w:name="_GoBack"/>
      <w:bookmarkEnd w:id="0"/>
      <w:r w:rsidR="00B64875">
        <w:rPr>
          <w:rFonts w:asciiTheme="minorHAnsi" w:hAnsiTheme="minorHAnsi" w:cstheme="minorHAnsi"/>
          <w:shd w:val="clear" w:color="auto" w:fill="FFFFFF"/>
        </w:rPr>
        <w:t xml:space="preserve"> law-making in the field of digital health</w:t>
      </w:r>
      <w:r w:rsidR="00ED2E58" w:rsidRPr="00ED2E58">
        <w:rPr>
          <w:rFonts w:asciiTheme="minorHAnsi" w:hAnsiTheme="minorHAnsi" w:cstheme="minorHAnsi"/>
          <w:shd w:val="clear" w:color="auto" w:fill="FFFFFF"/>
        </w:rPr>
        <w:t>.</w:t>
      </w:r>
      <w:r w:rsidR="00ED2E58" w:rsidRPr="00ED2E58">
        <w:rPr>
          <w:rFonts w:asciiTheme="minorHAnsi" w:hAnsiTheme="minorHAnsi" w:cstheme="minorHAnsi"/>
        </w:rPr>
        <w:t xml:space="preserve"> </w:t>
      </w:r>
    </w:p>
    <w:p w14:paraId="399B8217" w14:textId="43AEF528" w:rsidR="00645CDE" w:rsidRDefault="00645CDE" w:rsidP="006A7765">
      <w:pPr>
        <w:pStyle w:val="Heading3"/>
        <w:spacing w:before="74"/>
        <w:ind w:left="0"/>
      </w:pPr>
      <w:r>
        <w:rPr>
          <w:color w:val="BF5A14"/>
        </w:rPr>
        <w:t>Image</w:t>
      </w:r>
    </w:p>
    <w:p w14:paraId="34610884" w14:textId="77777777" w:rsidR="00ED2E58" w:rsidRDefault="00ED2E58" w:rsidP="00645CDE">
      <w:pPr>
        <w:pStyle w:val="BodyText"/>
        <w:spacing w:before="2"/>
        <w:rPr>
          <w:noProof/>
        </w:rPr>
      </w:pPr>
    </w:p>
    <w:p w14:paraId="1DDA7856" w14:textId="6D997D19" w:rsidR="00645CDE" w:rsidRDefault="00ED2E58" w:rsidP="00645CDE">
      <w:pPr>
        <w:pStyle w:val="BodyText"/>
        <w:spacing w:before="2"/>
        <w:rPr>
          <w:rFonts w:ascii="Arial"/>
          <w:b/>
          <w:sz w:val="16"/>
        </w:rPr>
      </w:pPr>
      <w:r>
        <w:rPr>
          <w:noProof/>
          <w:lang w:val="en-AU" w:eastAsia="en-AU"/>
        </w:rPr>
        <w:drawing>
          <wp:inline distT="0" distB="0" distL="0" distR="0" wp14:anchorId="7069D94E" wp14:editId="1FECF564">
            <wp:extent cx="3581400" cy="2616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26781" t="23003" r="30793" b="21897"/>
                    <a:stretch/>
                  </pic:blipFill>
                  <pic:spPr bwMode="auto">
                    <a:xfrm>
                      <a:off x="0" y="0"/>
                      <a:ext cx="3594013" cy="2625414"/>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p w14:paraId="614735C2" w14:textId="77777777" w:rsidR="00645CDE" w:rsidRDefault="00645CDE" w:rsidP="00645CDE">
      <w:pPr>
        <w:spacing w:line="204" w:lineRule="exact"/>
        <w:rPr>
          <w:rFonts w:ascii="Arial"/>
          <w:b/>
          <w:sz w:val="20"/>
        </w:rPr>
      </w:pPr>
      <w:r>
        <w:rPr>
          <w:rFonts w:ascii="Arial"/>
          <w:b/>
          <w:color w:val="BF5A14"/>
          <w:sz w:val="20"/>
        </w:rPr>
        <w:br/>
        <w:t>Recent Publications (minimum 5)</w:t>
      </w:r>
    </w:p>
    <w:p w14:paraId="2FF34946" w14:textId="35EB20AB" w:rsidR="00645CDE" w:rsidRDefault="00645CDE" w:rsidP="00645CDE">
      <w:pPr>
        <w:tabs>
          <w:tab w:val="left" w:pos="384"/>
        </w:tabs>
        <w:ind w:right="117"/>
      </w:pPr>
    </w:p>
    <w:p w14:paraId="6100B643"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 xml:space="preserve">Comparison of e-Health Records: Australia versus the US, Mar 2019, Medical Journal of Australia, </w:t>
      </w:r>
      <w:proofErr w:type="spellStart"/>
      <w:r w:rsidRPr="004E5294">
        <w:rPr>
          <w:rStyle w:val="color11"/>
          <w:rFonts w:asciiTheme="minorHAnsi" w:eastAsia="Arial" w:hAnsiTheme="minorHAnsi" w:cstheme="minorHAnsi"/>
          <w:sz w:val="22"/>
          <w:szCs w:val="22"/>
          <w:bdr w:val="none" w:sz="0" w:space="0" w:color="auto" w:frame="1"/>
        </w:rPr>
        <w:t>InSight</w:t>
      </w:r>
      <w:proofErr w:type="spellEnd"/>
      <w:r w:rsidRPr="004E5294">
        <w:rPr>
          <w:rStyle w:val="color11"/>
          <w:rFonts w:asciiTheme="minorHAnsi" w:eastAsia="Arial" w:hAnsiTheme="minorHAnsi" w:cstheme="minorHAnsi"/>
          <w:sz w:val="22"/>
          <w:szCs w:val="22"/>
          <w:bdr w:val="none" w:sz="0" w:space="0" w:color="auto" w:frame="1"/>
        </w:rPr>
        <w:t>. </w:t>
      </w:r>
    </w:p>
    <w:p w14:paraId="67DA4E7C"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 xml:space="preserve">Telemedicine for diabetes and heart failure: an evidence review, Feb 2019, Medical Journal of Australia, </w:t>
      </w:r>
      <w:proofErr w:type="spellStart"/>
      <w:r w:rsidRPr="004E5294">
        <w:rPr>
          <w:rStyle w:val="color11"/>
          <w:rFonts w:asciiTheme="minorHAnsi" w:eastAsia="Arial" w:hAnsiTheme="minorHAnsi" w:cstheme="minorHAnsi"/>
          <w:sz w:val="22"/>
          <w:szCs w:val="22"/>
          <w:bdr w:val="none" w:sz="0" w:space="0" w:color="auto" w:frame="1"/>
        </w:rPr>
        <w:t>InSight</w:t>
      </w:r>
      <w:proofErr w:type="spellEnd"/>
      <w:r w:rsidRPr="004E5294">
        <w:rPr>
          <w:rStyle w:val="color11"/>
          <w:rFonts w:asciiTheme="minorHAnsi" w:eastAsia="Arial" w:hAnsiTheme="minorHAnsi" w:cstheme="minorHAnsi"/>
          <w:sz w:val="22"/>
          <w:szCs w:val="22"/>
          <w:bdr w:val="none" w:sz="0" w:space="0" w:color="auto" w:frame="1"/>
        </w:rPr>
        <w:t>.</w:t>
      </w:r>
    </w:p>
    <w:p w14:paraId="3F235B7E"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 xml:space="preserve">Digital health success hinges on four principles, Jan 2019, Medical Journal of Australia, </w:t>
      </w:r>
      <w:proofErr w:type="spellStart"/>
      <w:r w:rsidRPr="004E5294">
        <w:rPr>
          <w:rStyle w:val="color11"/>
          <w:rFonts w:asciiTheme="minorHAnsi" w:eastAsia="Arial" w:hAnsiTheme="minorHAnsi" w:cstheme="minorHAnsi"/>
          <w:sz w:val="22"/>
          <w:szCs w:val="22"/>
          <w:bdr w:val="none" w:sz="0" w:space="0" w:color="auto" w:frame="1"/>
        </w:rPr>
        <w:t>InSight</w:t>
      </w:r>
      <w:proofErr w:type="spellEnd"/>
      <w:r w:rsidRPr="004E5294">
        <w:rPr>
          <w:rStyle w:val="color11"/>
          <w:rFonts w:asciiTheme="minorHAnsi" w:eastAsia="Arial" w:hAnsiTheme="minorHAnsi" w:cstheme="minorHAnsi"/>
          <w:sz w:val="22"/>
          <w:szCs w:val="22"/>
          <w:bdr w:val="none" w:sz="0" w:space="0" w:color="auto" w:frame="1"/>
        </w:rPr>
        <w:t>.</w:t>
      </w:r>
    </w:p>
    <w:p w14:paraId="12132625" w14:textId="15EC7C5C"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 xml:space="preserve">My Health Record: Legal Challenges, Dec 2018, </w:t>
      </w:r>
      <w:r>
        <w:rPr>
          <w:rStyle w:val="color11"/>
          <w:rFonts w:asciiTheme="minorHAnsi" w:eastAsia="Arial" w:hAnsiTheme="minorHAnsi" w:cstheme="minorHAnsi"/>
          <w:sz w:val="22"/>
          <w:szCs w:val="22"/>
          <w:bdr w:val="none" w:sz="0" w:space="0" w:color="auto" w:frame="1"/>
        </w:rPr>
        <w:t xml:space="preserve"> </w:t>
      </w:r>
      <w:r w:rsidRPr="004E5294">
        <w:rPr>
          <w:rStyle w:val="color11"/>
          <w:rFonts w:asciiTheme="minorHAnsi" w:eastAsia="Arial" w:hAnsiTheme="minorHAnsi" w:cstheme="minorHAnsi"/>
          <w:sz w:val="22"/>
          <w:szCs w:val="22"/>
          <w:bdr w:val="none" w:sz="0" w:space="0" w:color="auto" w:frame="1"/>
        </w:rPr>
        <w:t xml:space="preserve">Medical Journal of Australia, </w:t>
      </w:r>
      <w:proofErr w:type="spellStart"/>
      <w:r w:rsidRPr="004E5294">
        <w:rPr>
          <w:rStyle w:val="color11"/>
          <w:rFonts w:asciiTheme="minorHAnsi" w:eastAsia="Arial" w:hAnsiTheme="minorHAnsi" w:cstheme="minorHAnsi"/>
          <w:sz w:val="22"/>
          <w:szCs w:val="22"/>
          <w:bdr w:val="none" w:sz="0" w:space="0" w:color="auto" w:frame="1"/>
        </w:rPr>
        <w:t>InSight</w:t>
      </w:r>
      <w:proofErr w:type="spellEnd"/>
      <w:r w:rsidRPr="004E5294">
        <w:rPr>
          <w:rStyle w:val="color11"/>
          <w:rFonts w:asciiTheme="minorHAnsi" w:eastAsia="Arial" w:hAnsiTheme="minorHAnsi" w:cstheme="minorHAnsi"/>
          <w:sz w:val="22"/>
          <w:szCs w:val="22"/>
          <w:bdr w:val="none" w:sz="0" w:space="0" w:color="auto" w:frame="1"/>
        </w:rPr>
        <w:t>.</w:t>
      </w:r>
    </w:p>
    <w:p w14:paraId="68169AE9"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 xml:space="preserve">Making the Digital Health Revolution, Oct 2018, Medical Journal of Australia, </w:t>
      </w:r>
      <w:proofErr w:type="spellStart"/>
      <w:r w:rsidRPr="004E5294">
        <w:rPr>
          <w:rStyle w:val="color11"/>
          <w:rFonts w:asciiTheme="minorHAnsi" w:eastAsia="Arial" w:hAnsiTheme="minorHAnsi" w:cstheme="minorHAnsi"/>
          <w:sz w:val="22"/>
          <w:szCs w:val="22"/>
          <w:bdr w:val="none" w:sz="0" w:space="0" w:color="auto" w:frame="1"/>
        </w:rPr>
        <w:t>InSight</w:t>
      </w:r>
      <w:proofErr w:type="spellEnd"/>
      <w:r w:rsidRPr="004E5294">
        <w:rPr>
          <w:rStyle w:val="color11"/>
          <w:rFonts w:asciiTheme="minorHAnsi" w:eastAsia="Arial" w:hAnsiTheme="minorHAnsi" w:cstheme="minorHAnsi"/>
          <w:sz w:val="22"/>
          <w:szCs w:val="22"/>
          <w:bdr w:val="none" w:sz="0" w:space="0" w:color="auto" w:frame="1"/>
        </w:rPr>
        <w:t>.</w:t>
      </w:r>
    </w:p>
    <w:p w14:paraId="6F9DBF66"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My Health is shifting the control paradigm, Aug 2018, The Australian Hospital and Healthcare Bulletin.</w:t>
      </w:r>
    </w:p>
    <w:p w14:paraId="37582FBB" w14:textId="192963C5" w:rsidR="004E5294" w:rsidRPr="004E5294" w:rsidRDefault="004E5294" w:rsidP="004E5294">
      <w:pPr>
        <w:pStyle w:val="font9"/>
        <w:numPr>
          <w:ilvl w:val="0"/>
          <w:numId w:val="3"/>
        </w:numPr>
        <w:spacing w:before="0" w:beforeAutospacing="0" w:after="0" w:afterAutospacing="0"/>
        <w:textAlignment w:val="baseline"/>
        <w:rPr>
          <w:rStyle w:val="color11"/>
          <w:rFonts w:asciiTheme="minorHAnsi" w:hAnsiTheme="minorHAnsi" w:cstheme="minorHAnsi"/>
          <w:sz w:val="22"/>
          <w:szCs w:val="22"/>
        </w:rPr>
      </w:pPr>
      <w:r>
        <w:rPr>
          <w:rStyle w:val="color11"/>
          <w:rFonts w:asciiTheme="minorHAnsi" w:hAnsiTheme="minorHAnsi" w:cstheme="minorHAnsi"/>
          <w:sz w:val="22"/>
          <w:szCs w:val="22"/>
        </w:rPr>
        <w:t>Submission to the My Health Record Senate Inquiry, 2018.</w:t>
      </w:r>
    </w:p>
    <w:p w14:paraId="72E6AC82" w14:textId="2C6B9C4E"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A series on the digitisation of medical information Part 2: the laws of digitised medicine​, Aug 2016, Lexis Nexis AU.  </w:t>
      </w:r>
    </w:p>
    <w:p w14:paraId="398FBB96"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 xml:space="preserve">Ownership challenges for </w:t>
      </w:r>
      <w:proofErr w:type="spellStart"/>
      <w:r w:rsidRPr="004E5294">
        <w:rPr>
          <w:rStyle w:val="color11"/>
          <w:rFonts w:asciiTheme="minorHAnsi" w:eastAsia="Arial" w:hAnsiTheme="minorHAnsi" w:cstheme="minorHAnsi"/>
          <w:sz w:val="22"/>
          <w:szCs w:val="22"/>
          <w:bdr w:val="none" w:sz="0" w:space="0" w:color="auto" w:frame="1"/>
        </w:rPr>
        <w:t>MyHealth</w:t>
      </w:r>
      <w:proofErr w:type="spellEnd"/>
      <w:r w:rsidRPr="004E5294">
        <w:rPr>
          <w:rStyle w:val="color11"/>
          <w:rFonts w:asciiTheme="minorHAnsi" w:eastAsia="Arial" w:hAnsiTheme="minorHAnsi" w:cstheme="minorHAnsi"/>
          <w:sz w:val="22"/>
          <w:szCs w:val="22"/>
          <w:bdr w:val="none" w:sz="0" w:space="0" w:color="auto" w:frame="1"/>
        </w:rPr>
        <w:t>, 21 Jun 2016, Medical Journal of Australia, Insight.</w:t>
      </w:r>
    </w:p>
    <w:p w14:paraId="4F3A28D6"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Series on the Digitisation of Medical Information: Electronic Health Records in Australia, Recent Changes, 19 May 2016, Lexis Nexis AU.</w:t>
      </w:r>
    </w:p>
    <w:p w14:paraId="4B2C526D"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lastRenderedPageBreak/>
        <w:t>Series on digitised medicine: assessing the benefits and limitations of electronic health, Mar 2016, LexisNexis AU.</w:t>
      </w:r>
    </w:p>
    <w:p w14:paraId="482D2399"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The digitisation of medical information and the implications for privacy, Nov 2015, LexisNexis AU.</w:t>
      </w:r>
    </w:p>
    <w:p w14:paraId="2C0BEEAA"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Patent Challenges, Oct 2015, Medical Journal of Australia, Insight.</w:t>
      </w:r>
    </w:p>
    <w:p w14:paraId="54F5B9A5"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Comment on the ALRC Report into Serious Invasions of Privacy in the Digital Era, Jun 2015, LexisNexis AU.</w:t>
      </w:r>
    </w:p>
    <w:p w14:paraId="52283DB2"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New Victorian Privacy and Security Laws, Apr 2015, LexisNexis AU.</w:t>
      </w:r>
    </w:p>
    <w:p w14:paraId="2A5CBE34"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Preventive IVF, 16 Feb 2015, Medical Journal of Australia, Insight.</w:t>
      </w:r>
    </w:p>
    <w:p w14:paraId="0E25697C"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Submission to Expert Review of Medicines and Medical Devices, Jan 2015.</w:t>
      </w:r>
    </w:p>
    <w:p w14:paraId="437EEAC8"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The e-health records cloud, Dec 2014, Law &amp; Society Conference, The University of Queensland.</w:t>
      </w:r>
    </w:p>
    <w:p w14:paraId="51B2D2A4"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Telemedicine: Jurisdiction in the Cloud (Volume 11, No 8), Sep 2014, LexisNexis AU.</w:t>
      </w:r>
    </w:p>
    <w:p w14:paraId="420A5CE8" w14:textId="53033F3C" w:rsidR="004E5294" w:rsidRPr="004E5294" w:rsidRDefault="006A7765" w:rsidP="004E5294">
      <w:pPr>
        <w:pStyle w:val="font9"/>
        <w:numPr>
          <w:ilvl w:val="0"/>
          <w:numId w:val="3"/>
        </w:numPr>
        <w:spacing w:before="0" w:beforeAutospacing="0" w:after="0" w:afterAutospacing="0"/>
        <w:textAlignment w:val="baseline"/>
        <w:rPr>
          <w:rStyle w:val="color11"/>
          <w:rFonts w:asciiTheme="minorHAnsi" w:hAnsiTheme="minorHAnsi" w:cstheme="minorHAnsi"/>
          <w:sz w:val="22"/>
          <w:szCs w:val="22"/>
        </w:rPr>
      </w:pPr>
      <w:r>
        <w:rPr>
          <w:rStyle w:val="color11"/>
          <w:rFonts w:asciiTheme="minorHAnsi" w:eastAsia="Arial" w:hAnsiTheme="minorHAnsi" w:cstheme="minorHAnsi"/>
          <w:sz w:val="22"/>
          <w:szCs w:val="22"/>
          <w:bdr w:val="none" w:sz="0" w:space="0" w:color="auto" w:frame="1"/>
        </w:rPr>
        <w:t>Telemedicine Risks, Aug 2014, </w:t>
      </w:r>
      <w:r w:rsidR="004E5294" w:rsidRPr="004E5294">
        <w:rPr>
          <w:rStyle w:val="color11"/>
          <w:rFonts w:asciiTheme="minorHAnsi" w:eastAsia="Arial" w:hAnsiTheme="minorHAnsi" w:cstheme="minorHAnsi"/>
          <w:sz w:val="22"/>
          <w:szCs w:val="22"/>
          <w:bdr w:val="none" w:sz="0" w:space="0" w:color="auto" w:frame="1"/>
        </w:rPr>
        <w:t>Medical Journal of Australia, Insight</w:t>
      </w:r>
      <w:r w:rsidR="004E5294">
        <w:rPr>
          <w:rStyle w:val="color11"/>
          <w:rFonts w:asciiTheme="minorHAnsi" w:eastAsia="Arial" w:hAnsiTheme="minorHAnsi" w:cstheme="minorHAnsi"/>
          <w:sz w:val="22"/>
          <w:szCs w:val="22"/>
          <w:bdr w:val="none" w:sz="0" w:space="0" w:color="auto" w:frame="1"/>
        </w:rPr>
        <w:t>.</w:t>
      </w:r>
    </w:p>
    <w:p w14:paraId="04422F42"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 xml:space="preserve">Law in the age of telemedicine, Jul 2014, Speaker at the Swinburne University </w:t>
      </w:r>
      <w:proofErr w:type="spellStart"/>
      <w:r w:rsidRPr="004E5294">
        <w:rPr>
          <w:rStyle w:val="color11"/>
          <w:rFonts w:asciiTheme="minorHAnsi" w:eastAsia="Arial" w:hAnsiTheme="minorHAnsi" w:cstheme="minorHAnsi"/>
          <w:sz w:val="22"/>
          <w:szCs w:val="22"/>
          <w:bdr w:val="none" w:sz="0" w:space="0" w:color="auto" w:frame="1"/>
        </w:rPr>
        <w:t>eResearch</w:t>
      </w:r>
      <w:proofErr w:type="spellEnd"/>
      <w:r w:rsidRPr="004E5294">
        <w:rPr>
          <w:rStyle w:val="color11"/>
          <w:rFonts w:asciiTheme="minorHAnsi" w:eastAsia="Arial" w:hAnsiTheme="minorHAnsi" w:cstheme="minorHAnsi"/>
          <w:sz w:val="22"/>
          <w:szCs w:val="22"/>
          <w:bdr w:val="none" w:sz="0" w:space="0" w:color="auto" w:frame="1"/>
        </w:rPr>
        <w:t xml:space="preserve"> Symposium.</w:t>
      </w:r>
    </w:p>
    <w:p w14:paraId="7963D8A8"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Telemedicine Security Governance: Lessons from a recent OAIC Audit Report (Volume 11, No 6), Jul 2014, LexisNexis AU.</w:t>
      </w:r>
    </w:p>
    <w:p w14:paraId="577FA253"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Telemedicine: The legal duties of the health practitioner (Volume 11, No 7), Jul 2014, LexisNexis AU.</w:t>
      </w:r>
    </w:p>
    <w:p w14:paraId="6976A17E"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Who owns health data? (Volume 11, No 5), Jun 2014, LexisNexis AU.</w:t>
      </w:r>
    </w:p>
    <w:p w14:paraId="3ED72D4C"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Telemedicine Governance: Individual Physicians and Hobby App Developers (Volume 11, No 4), May 2014, LexisNexis AU.</w:t>
      </w:r>
    </w:p>
    <w:p w14:paraId="5573A16E"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Why privacy is the key to gaining consumer trust of e-health (Volume 11, No 3), Apr 2014, LexisNexis AU.</w:t>
      </w:r>
    </w:p>
    <w:p w14:paraId="312B9EEA"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The e-health records cloud, Mar 2014, Presented at the 23rd Annual Medico Legal Congress 2014 in Sydney.</w:t>
      </w:r>
    </w:p>
    <w:p w14:paraId="0AAF250B"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proofErr w:type="spellStart"/>
      <w:r w:rsidRPr="004E5294">
        <w:rPr>
          <w:rStyle w:val="color11"/>
          <w:rFonts w:asciiTheme="minorHAnsi" w:eastAsia="Arial" w:hAnsiTheme="minorHAnsi" w:cstheme="minorHAnsi"/>
          <w:sz w:val="22"/>
          <w:szCs w:val="22"/>
          <w:bdr w:val="none" w:sz="0" w:space="0" w:color="auto" w:frame="1"/>
        </w:rPr>
        <w:t>ehealth</w:t>
      </w:r>
      <w:proofErr w:type="spellEnd"/>
      <w:r w:rsidRPr="004E5294">
        <w:rPr>
          <w:rStyle w:val="color11"/>
          <w:rFonts w:asciiTheme="minorHAnsi" w:eastAsia="Arial" w:hAnsiTheme="minorHAnsi" w:cstheme="minorHAnsi"/>
          <w:sz w:val="22"/>
          <w:szCs w:val="22"/>
          <w:bdr w:val="none" w:sz="0" w:space="0" w:color="auto" w:frame="1"/>
        </w:rPr>
        <w:t>: in the press (Volume 11, No 2), Mar 2014, LexisNexis AU.</w:t>
      </w:r>
    </w:p>
    <w:p w14:paraId="55A0D3DC" w14:textId="77777777" w:rsid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Telemedicine: why the law must change to promote a better healthcare system (Volume 11, No 1), Feb 2014, LexisNexis AU.</w:t>
      </w:r>
    </w:p>
    <w:p w14:paraId="2961204D" w14:textId="3C925A59" w:rsidR="004E5294" w:rsidRPr="004E5294" w:rsidRDefault="004E5294" w:rsidP="004E5294">
      <w:pPr>
        <w:pStyle w:val="font9"/>
        <w:numPr>
          <w:ilvl w:val="0"/>
          <w:numId w:val="3"/>
        </w:numPr>
        <w:spacing w:before="0" w:beforeAutospacing="0" w:after="0" w:afterAutospacing="0"/>
        <w:textAlignment w:val="baseline"/>
        <w:rPr>
          <w:rFonts w:asciiTheme="minorHAnsi" w:hAnsiTheme="minorHAnsi" w:cstheme="minorHAnsi"/>
          <w:sz w:val="22"/>
          <w:szCs w:val="22"/>
        </w:rPr>
      </w:pPr>
      <w:r w:rsidRPr="004E5294">
        <w:rPr>
          <w:rStyle w:val="color11"/>
          <w:rFonts w:asciiTheme="minorHAnsi" w:eastAsia="Arial" w:hAnsiTheme="minorHAnsi" w:cstheme="minorHAnsi"/>
          <w:sz w:val="22"/>
          <w:szCs w:val="22"/>
          <w:bdr w:val="none" w:sz="0" w:space="0" w:color="auto" w:frame="1"/>
        </w:rPr>
        <w:t>The e-health records cloud – how and why the law must change to promote better privacy in healthcare (Volume 11, No 1), Feb 2014, LexisNexis AU.</w:t>
      </w:r>
    </w:p>
    <w:p w14:paraId="1851194A" w14:textId="77777777" w:rsidR="004E5294" w:rsidRPr="004E5294" w:rsidRDefault="004E5294" w:rsidP="004E5294">
      <w:pPr>
        <w:tabs>
          <w:tab w:val="left" w:pos="384"/>
        </w:tabs>
        <w:ind w:right="117"/>
        <w:rPr>
          <w:rFonts w:asciiTheme="minorHAnsi" w:hAnsiTheme="minorHAnsi" w:cstheme="minorHAnsi"/>
        </w:rPr>
      </w:pPr>
    </w:p>
    <w:p w14:paraId="234EC724" w14:textId="77777777" w:rsidR="00645CDE" w:rsidRPr="004E5294" w:rsidRDefault="00645CDE" w:rsidP="004E5294">
      <w:pPr>
        <w:spacing w:line="200" w:lineRule="exact"/>
        <w:rPr>
          <w:rFonts w:asciiTheme="minorHAnsi" w:hAnsiTheme="minorHAnsi" w:cstheme="minorHAnsi"/>
        </w:rPr>
      </w:pPr>
      <w:r w:rsidRPr="004E5294">
        <w:rPr>
          <w:rFonts w:asciiTheme="minorHAnsi" w:hAnsiTheme="minorHAnsi" w:cstheme="minorHAnsi"/>
        </w:rPr>
        <w:t xml:space="preserve">   </w:t>
      </w:r>
    </w:p>
    <w:p w14:paraId="203A7936" w14:textId="77777777" w:rsidR="00645CDE" w:rsidRDefault="00645CDE" w:rsidP="00645CDE">
      <w:pPr>
        <w:widowControl/>
        <w:rPr>
          <w:rFonts w:ascii="Calibri" w:hAnsi="Calibri"/>
        </w:rPr>
        <w:sectPr w:rsidR="00645CDE">
          <w:type w:val="continuous"/>
          <w:pgSz w:w="11910" w:h="16840"/>
          <w:pgMar w:top="1740" w:right="600" w:bottom="840" w:left="620" w:header="720" w:footer="720" w:gutter="0"/>
          <w:cols w:num="2" w:space="720" w:equalWidth="0">
            <w:col w:w="5214" w:space="138"/>
            <w:col w:w="5338"/>
          </w:cols>
        </w:sectPr>
      </w:pPr>
    </w:p>
    <w:p w14:paraId="7E48CAE1" w14:textId="77777777" w:rsidR="00645CDE" w:rsidRDefault="00645CDE" w:rsidP="00645CDE">
      <w:pPr>
        <w:pStyle w:val="BodyText"/>
        <w:rPr>
          <w:rFonts w:ascii="Calibri"/>
          <w:sz w:val="20"/>
        </w:rPr>
      </w:pPr>
    </w:p>
    <w:p w14:paraId="499C17C4" w14:textId="6C155B52" w:rsidR="00645CDE" w:rsidRDefault="00645CDE" w:rsidP="00645CDE">
      <w:pPr>
        <w:pStyle w:val="BodyText"/>
        <w:spacing w:line="40" w:lineRule="exact"/>
        <w:ind w:left="2202"/>
        <w:rPr>
          <w:rFonts w:ascii="Calibri"/>
          <w:sz w:val="4"/>
        </w:rPr>
      </w:pPr>
      <w:r>
        <w:rPr>
          <w:noProof/>
          <w:lang w:val="en-AU" w:eastAsia="en-AU"/>
        </w:rPr>
        <mc:AlternateContent>
          <mc:Choice Requires="wpg">
            <w:drawing>
              <wp:inline distT="0" distB="0" distL="0" distR="0" wp14:anchorId="018A62DC" wp14:editId="5A6EEA0A">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2D2289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4DC081E5" w14:textId="0754AA0C" w:rsidR="00B64875" w:rsidRDefault="00B64875" w:rsidP="00645CDE">
      <w:pPr>
        <w:spacing w:before="92"/>
        <w:ind w:right="4234"/>
        <w:rPr>
          <w:noProof/>
        </w:rPr>
      </w:pPr>
      <w:r>
        <w:rPr>
          <w:noProof/>
          <w:lang w:val="en-AU" w:eastAsia="en-AU"/>
        </w:rPr>
        <w:drawing>
          <wp:inline distT="0" distB="0" distL="0" distR="0" wp14:anchorId="560C4907" wp14:editId="305A7400">
            <wp:extent cx="1190625" cy="1042551"/>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my"/>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288748" cy="1128471"/>
                    </a:xfrm>
                    <a:prstGeom prst="rect">
                      <a:avLst/>
                    </a:prstGeom>
                    <a:noFill/>
                    <a:ln>
                      <a:noFill/>
                    </a:ln>
                  </pic:spPr>
                </pic:pic>
              </a:graphicData>
            </a:graphic>
          </wp:inline>
        </w:drawing>
      </w:r>
      <w:r w:rsidR="00645CDE">
        <w:rPr>
          <w:noProof/>
        </w:rPr>
        <w:t xml:space="preserve">              </w:t>
      </w:r>
    </w:p>
    <w:p w14:paraId="0448A820" w14:textId="147453D3" w:rsidR="00645CDE" w:rsidRDefault="00645CDE" w:rsidP="00645CDE">
      <w:pPr>
        <w:spacing w:before="92"/>
        <w:ind w:right="4234"/>
        <w:rPr>
          <w:rFonts w:ascii="Arial"/>
        </w:rPr>
      </w:pPr>
      <w:r>
        <w:rPr>
          <w:rFonts w:ascii="Arial"/>
          <w:color w:val="BF5A14"/>
        </w:rPr>
        <w:t>Biography (150 word limit)</w:t>
      </w:r>
    </w:p>
    <w:p w14:paraId="69615187" w14:textId="23000692" w:rsidR="004E5294" w:rsidRPr="004E5294" w:rsidRDefault="004E5294" w:rsidP="004E5294">
      <w:pPr>
        <w:spacing w:before="62"/>
        <w:ind w:right="200"/>
        <w:jc w:val="both"/>
        <w:rPr>
          <w:rFonts w:asciiTheme="minorHAnsi" w:hAnsiTheme="minorHAnsi" w:cstheme="minorHAnsi"/>
          <w:color w:val="393F44"/>
        </w:rPr>
      </w:pPr>
      <w:r w:rsidRPr="004E5294">
        <w:rPr>
          <w:rFonts w:asciiTheme="minorHAnsi" w:hAnsiTheme="minorHAnsi" w:cstheme="minorHAnsi"/>
          <w:color w:val="393F44"/>
        </w:rPr>
        <w:t>Bianca is advocating for a future where telemedicine allows for access to</w:t>
      </w:r>
      <w:r>
        <w:rPr>
          <w:rFonts w:asciiTheme="minorHAnsi" w:hAnsiTheme="minorHAnsi" w:cstheme="minorHAnsi"/>
          <w:color w:val="393F44"/>
        </w:rPr>
        <w:t xml:space="preserve"> </w:t>
      </w:r>
      <w:r w:rsidRPr="004E5294">
        <w:rPr>
          <w:rFonts w:asciiTheme="minorHAnsi" w:hAnsiTheme="minorHAnsi" w:cstheme="minorHAnsi"/>
          <w:color w:val="393F44"/>
        </w:rPr>
        <w:t>healthcare no matter where you live, where the mainstream use of wearables allows us to predict the onset of disease before it happens, and where clinical outcomes are improved because of uses of precision and personalised medicine. She believes that the digital health future should balance the needs of both patients and healthcare prov</w:t>
      </w:r>
      <w:r w:rsidR="00B64875">
        <w:rPr>
          <w:rFonts w:asciiTheme="minorHAnsi" w:hAnsiTheme="minorHAnsi" w:cstheme="minorHAnsi"/>
          <w:color w:val="393F44"/>
        </w:rPr>
        <w:t xml:space="preserve">iders by placing human rights, evidence-based clinical benefits, risk and harm reduction </w:t>
      </w:r>
      <w:r w:rsidRPr="004E5294">
        <w:rPr>
          <w:rFonts w:asciiTheme="minorHAnsi" w:hAnsiTheme="minorHAnsi" w:cstheme="minorHAnsi"/>
          <w:color w:val="393F44"/>
        </w:rPr>
        <w:t xml:space="preserve">at the </w:t>
      </w:r>
      <w:r w:rsidR="00B64875">
        <w:rPr>
          <w:rFonts w:asciiTheme="minorHAnsi" w:hAnsiTheme="minorHAnsi" w:cstheme="minorHAnsi"/>
          <w:color w:val="393F44"/>
        </w:rPr>
        <w:t>center</w:t>
      </w:r>
      <w:r w:rsidRPr="004E5294">
        <w:rPr>
          <w:rFonts w:asciiTheme="minorHAnsi" w:hAnsiTheme="minorHAnsi" w:cstheme="minorHAnsi"/>
          <w:color w:val="393F44"/>
        </w:rPr>
        <w:t xml:space="preserve"> of digital health law-making</w:t>
      </w:r>
      <w:r w:rsidR="00B64875">
        <w:rPr>
          <w:rFonts w:asciiTheme="minorHAnsi" w:hAnsiTheme="minorHAnsi" w:cstheme="minorHAnsi"/>
          <w:color w:val="393F44"/>
        </w:rPr>
        <w:t>, prior to matters of a business case being established</w:t>
      </w:r>
      <w:r w:rsidRPr="004E5294">
        <w:rPr>
          <w:rFonts w:asciiTheme="minorHAnsi" w:hAnsiTheme="minorHAnsi" w:cstheme="minorHAnsi"/>
          <w:color w:val="393F44"/>
        </w:rPr>
        <w:t>. She aims to be a prominent voice for a Digital Health School of Thought founded on these principles. She has established a network for digital health thought leaders</w:t>
      </w:r>
      <w:r w:rsidR="00B64875">
        <w:rPr>
          <w:rFonts w:asciiTheme="minorHAnsi" w:hAnsiTheme="minorHAnsi" w:cstheme="minorHAnsi"/>
          <w:color w:val="393F44"/>
        </w:rPr>
        <w:t>, and all are welcome to join</w:t>
      </w:r>
      <w:r w:rsidR="00EE33D7">
        <w:rPr>
          <w:rFonts w:asciiTheme="minorHAnsi" w:hAnsiTheme="minorHAnsi" w:cstheme="minorHAnsi"/>
          <w:color w:val="393F44"/>
        </w:rPr>
        <w:t xml:space="preserve"> for updates,</w:t>
      </w:r>
      <w:r w:rsidR="00B64875">
        <w:rPr>
          <w:rFonts w:asciiTheme="minorHAnsi" w:hAnsiTheme="minorHAnsi" w:cstheme="minorHAnsi"/>
          <w:color w:val="393F44"/>
        </w:rPr>
        <w:t xml:space="preserve"> </w:t>
      </w:r>
      <w:r w:rsidR="00EE33D7">
        <w:rPr>
          <w:rFonts w:asciiTheme="minorHAnsi" w:hAnsiTheme="minorHAnsi" w:cstheme="minorHAnsi"/>
          <w:color w:val="393F44"/>
        </w:rPr>
        <w:t xml:space="preserve">to </w:t>
      </w:r>
      <w:r w:rsidR="00B64875">
        <w:rPr>
          <w:rFonts w:asciiTheme="minorHAnsi" w:hAnsiTheme="minorHAnsi" w:cstheme="minorHAnsi"/>
          <w:color w:val="393F44"/>
        </w:rPr>
        <w:t>express</w:t>
      </w:r>
      <w:r w:rsidR="00EE33D7">
        <w:rPr>
          <w:rFonts w:asciiTheme="minorHAnsi" w:hAnsiTheme="minorHAnsi" w:cstheme="minorHAnsi"/>
          <w:color w:val="393F44"/>
        </w:rPr>
        <w:t xml:space="preserve"> an</w:t>
      </w:r>
      <w:r w:rsidR="00B64875">
        <w:rPr>
          <w:rFonts w:asciiTheme="minorHAnsi" w:hAnsiTheme="minorHAnsi" w:cstheme="minorHAnsi"/>
          <w:color w:val="393F44"/>
        </w:rPr>
        <w:t xml:space="preserve"> interest in joining the team</w:t>
      </w:r>
      <w:r w:rsidR="00EE33D7">
        <w:rPr>
          <w:rFonts w:asciiTheme="minorHAnsi" w:hAnsiTheme="minorHAnsi" w:cstheme="minorHAnsi"/>
          <w:color w:val="393F44"/>
        </w:rPr>
        <w:t>,</w:t>
      </w:r>
      <w:r w:rsidR="00B64875">
        <w:rPr>
          <w:rFonts w:asciiTheme="minorHAnsi" w:hAnsiTheme="minorHAnsi" w:cstheme="minorHAnsi"/>
          <w:color w:val="393F44"/>
        </w:rPr>
        <w:t xml:space="preserve"> or</w:t>
      </w:r>
      <w:r w:rsidR="00EE33D7">
        <w:rPr>
          <w:rFonts w:asciiTheme="minorHAnsi" w:hAnsiTheme="minorHAnsi" w:cstheme="minorHAnsi"/>
          <w:color w:val="393F44"/>
        </w:rPr>
        <w:t xml:space="preserve"> to list</w:t>
      </w:r>
      <w:r w:rsidR="00B64875">
        <w:rPr>
          <w:rFonts w:asciiTheme="minorHAnsi" w:hAnsiTheme="minorHAnsi" w:cstheme="minorHAnsi"/>
          <w:color w:val="393F44"/>
        </w:rPr>
        <w:t xml:space="preserve"> your initiatives on the website</w:t>
      </w:r>
      <w:r w:rsidR="00EE33D7">
        <w:rPr>
          <w:rFonts w:asciiTheme="minorHAnsi" w:hAnsiTheme="minorHAnsi" w:cstheme="minorHAnsi"/>
          <w:color w:val="393F44"/>
        </w:rPr>
        <w:t xml:space="preserve"> -</w:t>
      </w:r>
      <w:r w:rsidRPr="004E5294">
        <w:rPr>
          <w:rFonts w:asciiTheme="minorHAnsi" w:hAnsiTheme="minorHAnsi" w:cstheme="minorHAnsi"/>
          <w:color w:val="393F44"/>
        </w:rPr>
        <w:t xml:space="preserve"> www.e-healthconsultants.com </w:t>
      </w:r>
    </w:p>
    <w:p w14:paraId="6508C335" w14:textId="27A4691D" w:rsidR="00645CDE" w:rsidRPr="00EE33D7" w:rsidRDefault="004E5294" w:rsidP="004E5294">
      <w:pPr>
        <w:spacing w:before="62"/>
        <w:ind w:right="4235"/>
        <w:rPr>
          <w:rFonts w:ascii="Arial"/>
          <w:sz w:val="20"/>
        </w:rPr>
      </w:pPr>
      <w:r w:rsidRPr="00EE33D7">
        <w:rPr>
          <w:rFonts w:ascii="Arial"/>
          <w:sz w:val="20"/>
        </w:rPr>
        <w:t xml:space="preserve"> </w:t>
      </w:r>
      <w:r w:rsidR="00645CDE" w:rsidRPr="00EE33D7">
        <w:rPr>
          <w:rFonts w:ascii="Arial"/>
          <w:sz w:val="20"/>
        </w:rPr>
        <w:t xml:space="preserve">Email: </w:t>
      </w:r>
      <w:r w:rsidRPr="00EE33D7">
        <w:rPr>
          <w:rStyle w:val="Hyperlink"/>
          <w:rFonts w:ascii="Arial"/>
          <w:sz w:val="20"/>
        </w:rPr>
        <w:t>brphillips@swin.edu.au</w:t>
      </w:r>
    </w:p>
    <w:p w14:paraId="1C35AE3C" w14:textId="1258D740" w:rsidR="00645CDE" w:rsidRDefault="00645CDE" w:rsidP="00645CDE">
      <w:pPr>
        <w:pStyle w:val="BodyText"/>
        <w:spacing w:before="2"/>
        <w:rPr>
          <w:rFonts w:ascii="Arial"/>
          <w:sz w:val="19"/>
        </w:rPr>
      </w:pPr>
      <w:r>
        <w:rPr>
          <w:noProof/>
          <w:lang w:val="en-AU" w:eastAsia="en-AU"/>
        </w:rPr>
        <mc:AlternateContent>
          <mc:Choice Requires="wps">
            <w:drawing>
              <wp:anchor distT="0" distB="0" distL="0" distR="0" simplePos="0" relativeHeight="251658240" behindDoc="0" locked="0" layoutInCell="1" allowOverlap="1" wp14:anchorId="34FF4540" wp14:editId="7BF21D3E">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FEAFE8A"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269EF70" w14:textId="77777777" w:rsidR="00645CDE" w:rsidRDefault="00645CDE" w:rsidP="00645CDE">
      <w:pPr>
        <w:pStyle w:val="BodyText"/>
        <w:rPr>
          <w:rFonts w:ascii="Arial"/>
          <w:sz w:val="20"/>
        </w:rPr>
      </w:pPr>
    </w:p>
    <w:p w14:paraId="6A8E8EEE" w14:textId="4B2A9C4E" w:rsidR="008C1C21" w:rsidRDefault="008C1C21" w:rsidP="00B64875"/>
    <w:sectPr w:rsidR="008C1C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7037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numFmt w:val="decimal"/>
      <w:lvlText w:val="•"/>
      <w:lvlJc w:val="left"/>
      <w:pPr>
        <w:ind w:left="877" w:hanging="284"/>
      </w:pPr>
    </w:lvl>
    <w:lvl w:ilvl="2" w:tplc="9E4C3810">
      <w:numFmt w:val="decimal"/>
      <w:lvlText w:val="•"/>
      <w:lvlJc w:val="left"/>
      <w:pPr>
        <w:ind w:left="1374" w:hanging="284"/>
      </w:pPr>
    </w:lvl>
    <w:lvl w:ilvl="3" w:tplc="27FEBB2C">
      <w:numFmt w:val="decimal"/>
      <w:lvlText w:val="•"/>
      <w:lvlJc w:val="left"/>
      <w:pPr>
        <w:ind w:left="1871" w:hanging="284"/>
      </w:pPr>
    </w:lvl>
    <w:lvl w:ilvl="4" w:tplc="40E042A8">
      <w:numFmt w:val="decimal"/>
      <w:lvlText w:val="•"/>
      <w:lvlJc w:val="left"/>
      <w:pPr>
        <w:ind w:left="2369" w:hanging="284"/>
      </w:pPr>
    </w:lvl>
    <w:lvl w:ilvl="5" w:tplc="80EC61F2">
      <w:numFmt w:val="decimal"/>
      <w:lvlText w:val="•"/>
      <w:lvlJc w:val="left"/>
      <w:pPr>
        <w:ind w:left="2866" w:hanging="284"/>
      </w:pPr>
    </w:lvl>
    <w:lvl w:ilvl="6" w:tplc="F60232E2">
      <w:numFmt w:val="decimal"/>
      <w:lvlText w:val="•"/>
      <w:lvlJc w:val="left"/>
      <w:pPr>
        <w:ind w:left="3363" w:hanging="284"/>
      </w:pPr>
    </w:lvl>
    <w:lvl w:ilvl="7" w:tplc="69AE9EC2">
      <w:numFmt w:val="decimal"/>
      <w:lvlText w:val="•"/>
      <w:lvlJc w:val="left"/>
      <w:pPr>
        <w:ind w:left="3860" w:hanging="284"/>
      </w:pPr>
    </w:lvl>
    <w:lvl w:ilvl="8" w:tplc="16D69236">
      <w:numFmt w:val="decimal"/>
      <w:lvlText w:val="•"/>
      <w:lvlJc w:val="left"/>
      <w:pPr>
        <w:ind w:left="4358" w:hanging="284"/>
      </w:pPr>
    </w:lvl>
  </w:abstractNum>
  <w:abstractNum w:abstractNumId="1" w15:restartNumberingAfterBreak="0">
    <w:nsid w:val="7ADF1B62"/>
    <w:multiLevelType w:val="hybridMultilevel"/>
    <w:tmpl w:val="568A66A8"/>
    <w:lvl w:ilvl="0" w:tplc="0C09000F">
      <w:start w:val="1"/>
      <w:numFmt w:val="decimal"/>
      <w:lvlText w:val="%1."/>
      <w:lvlJc w:val="left"/>
      <w:pPr>
        <w:ind w:left="480" w:hanging="360"/>
      </w:pPr>
    </w:lvl>
    <w:lvl w:ilvl="1" w:tplc="0C090019" w:tentative="1">
      <w:start w:val="1"/>
      <w:numFmt w:val="lowerLetter"/>
      <w:lvlText w:val="%2."/>
      <w:lvlJc w:val="left"/>
      <w:pPr>
        <w:ind w:left="1200" w:hanging="360"/>
      </w:pPr>
    </w:lvl>
    <w:lvl w:ilvl="2" w:tplc="0C09001B" w:tentative="1">
      <w:start w:val="1"/>
      <w:numFmt w:val="lowerRoman"/>
      <w:lvlText w:val="%3."/>
      <w:lvlJc w:val="right"/>
      <w:pPr>
        <w:ind w:left="1920" w:hanging="180"/>
      </w:pPr>
    </w:lvl>
    <w:lvl w:ilvl="3" w:tplc="0C09000F" w:tentative="1">
      <w:start w:val="1"/>
      <w:numFmt w:val="decimal"/>
      <w:lvlText w:val="%4."/>
      <w:lvlJc w:val="left"/>
      <w:pPr>
        <w:ind w:left="2640" w:hanging="360"/>
      </w:pPr>
    </w:lvl>
    <w:lvl w:ilvl="4" w:tplc="0C090019" w:tentative="1">
      <w:start w:val="1"/>
      <w:numFmt w:val="lowerLetter"/>
      <w:lvlText w:val="%5."/>
      <w:lvlJc w:val="left"/>
      <w:pPr>
        <w:ind w:left="3360" w:hanging="360"/>
      </w:pPr>
    </w:lvl>
    <w:lvl w:ilvl="5" w:tplc="0C09001B" w:tentative="1">
      <w:start w:val="1"/>
      <w:numFmt w:val="lowerRoman"/>
      <w:lvlText w:val="%6."/>
      <w:lvlJc w:val="right"/>
      <w:pPr>
        <w:ind w:left="4080" w:hanging="180"/>
      </w:pPr>
    </w:lvl>
    <w:lvl w:ilvl="6" w:tplc="0C09000F" w:tentative="1">
      <w:start w:val="1"/>
      <w:numFmt w:val="decimal"/>
      <w:lvlText w:val="%7."/>
      <w:lvlJc w:val="left"/>
      <w:pPr>
        <w:ind w:left="4800" w:hanging="360"/>
      </w:pPr>
    </w:lvl>
    <w:lvl w:ilvl="7" w:tplc="0C090019" w:tentative="1">
      <w:start w:val="1"/>
      <w:numFmt w:val="lowerLetter"/>
      <w:lvlText w:val="%8."/>
      <w:lvlJc w:val="left"/>
      <w:pPr>
        <w:ind w:left="5520" w:hanging="360"/>
      </w:pPr>
    </w:lvl>
    <w:lvl w:ilvl="8" w:tplc="0C09001B" w:tentative="1">
      <w:start w:val="1"/>
      <w:numFmt w:val="lowerRoman"/>
      <w:lvlText w:val="%9."/>
      <w:lvlJc w:val="right"/>
      <w:pPr>
        <w:ind w:left="6240" w:hanging="180"/>
      </w:pPr>
    </w:lvl>
  </w:abstractNum>
  <w:abstractNum w:abstractNumId="2" w15:restartNumberingAfterBreak="0">
    <w:nsid w:val="7C1D2A14"/>
    <w:multiLevelType w:val="multilevel"/>
    <w:tmpl w:val="FE384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CDE"/>
    <w:rsid w:val="00214F6A"/>
    <w:rsid w:val="003500ED"/>
    <w:rsid w:val="004E5294"/>
    <w:rsid w:val="0054130C"/>
    <w:rsid w:val="00645CDE"/>
    <w:rsid w:val="006A7765"/>
    <w:rsid w:val="00701B3E"/>
    <w:rsid w:val="00841D2C"/>
    <w:rsid w:val="008C1C21"/>
    <w:rsid w:val="00921F39"/>
    <w:rsid w:val="00A73331"/>
    <w:rsid w:val="00B64875"/>
    <w:rsid w:val="00BB76E3"/>
    <w:rsid w:val="00D02293"/>
    <w:rsid w:val="00DB1775"/>
    <w:rsid w:val="00ED2E58"/>
    <w:rsid w:val="00ED3C67"/>
    <w:rsid w:val="00EE33D7"/>
    <w:rsid w:val="00F53EDB"/>
    <w:rsid w:val="00FB6D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6FE63"/>
  <w15:chartTrackingRefBased/>
  <w15:docId w15:val="{35EB02D0-9E38-4D59-A209-E61DE3309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45CDE"/>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645CD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645CD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645CDE"/>
    <w:pPr>
      <w:spacing w:after="200" w:line="276" w:lineRule="auto"/>
    </w:pPr>
    <w:rPr>
      <w:rFonts w:ascii="Calibri" w:eastAsia="Calibri" w:hAnsi="Calibri" w:cs="Calibri"/>
      <w:color w:val="000000"/>
      <w:lang w:eastAsia="en-AU"/>
    </w:rPr>
  </w:style>
  <w:style w:type="character" w:customStyle="1" w:styleId="Heading1Char">
    <w:name w:val="Heading 1 Char"/>
    <w:basedOn w:val="DefaultParagraphFont"/>
    <w:link w:val="Heading1"/>
    <w:uiPriority w:val="1"/>
    <w:rsid w:val="00645CDE"/>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645CDE"/>
    <w:rPr>
      <w:rFonts w:ascii="Arial" w:eastAsia="Arial" w:hAnsi="Arial" w:cs="Arial"/>
      <w:b/>
      <w:bCs/>
      <w:sz w:val="20"/>
      <w:szCs w:val="20"/>
      <w:lang w:val="en-US"/>
    </w:rPr>
  </w:style>
  <w:style w:type="character" w:styleId="Hyperlink">
    <w:name w:val="Hyperlink"/>
    <w:basedOn w:val="DefaultParagraphFont"/>
    <w:uiPriority w:val="99"/>
    <w:semiHidden/>
    <w:unhideWhenUsed/>
    <w:rsid w:val="00645CDE"/>
    <w:rPr>
      <w:color w:val="0563C1" w:themeColor="hyperlink"/>
      <w:u w:val="single"/>
    </w:rPr>
  </w:style>
  <w:style w:type="paragraph" w:styleId="BodyText">
    <w:name w:val="Body Text"/>
    <w:basedOn w:val="Normal"/>
    <w:link w:val="BodyTextChar"/>
    <w:uiPriority w:val="1"/>
    <w:semiHidden/>
    <w:unhideWhenUsed/>
    <w:qFormat/>
    <w:rsid w:val="00645CDE"/>
    <w:rPr>
      <w:sz w:val="18"/>
      <w:szCs w:val="18"/>
    </w:rPr>
  </w:style>
  <w:style w:type="character" w:customStyle="1" w:styleId="BodyTextChar">
    <w:name w:val="Body Text Char"/>
    <w:basedOn w:val="DefaultParagraphFont"/>
    <w:link w:val="BodyText"/>
    <w:uiPriority w:val="1"/>
    <w:semiHidden/>
    <w:rsid w:val="00645CDE"/>
    <w:rPr>
      <w:rFonts w:ascii="Tw Cen MT" w:eastAsia="Tw Cen MT" w:hAnsi="Tw Cen MT" w:cs="Tw Cen MT"/>
      <w:sz w:val="18"/>
      <w:szCs w:val="18"/>
      <w:lang w:val="en-US"/>
    </w:rPr>
  </w:style>
  <w:style w:type="paragraph" w:styleId="ListParagraph">
    <w:name w:val="List Paragraph"/>
    <w:basedOn w:val="Normal"/>
    <w:uiPriority w:val="1"/>
    <w:qFormat/>
    <w:rsid w:val="00645CDE"/>
    <w:pPr>
      <w:spacing w:before="90" w:line="200" w:lineRule="exact"/>
      <w:ind w:left="383" w:hanging="283"/>
      <w:jc w:val="both"/>
    </w:pPr>
    <w:rPr>
      <w:rFonts w:ascii="Calibri" w:eastAsia="Calibri" w:hAnsi="Calibri" w:cs="Calibri"/>
    </w:rPr>
  </w:style>
  <w:style w:type="paragraph" w:customStyle="1" w:styleId="font9">
    <w:name w:val="font_9"/>
    <w:basedOn w:val="Normal"/>
    <w:rsid w:val="004E5294"/>
    <w:pPr>
      <w:widowControl/>
      <w:spacing w:before="100" w:beforeAutospacing="1" w:after="100" w:afterAutospacing="1"/>
    </w:pPr>
    <w:rPr>
      <w:rFonts w:ascii="Times New Roman" w:eastAsia="Times New Roman" w:hAnsi="Times New Roman" w:cs="Times New Roman"/>
      <w:sz w:val="24"/>
      <w:szCs w:val="24"/>
      <w:lang w:val="en-AU" w:eastAsia="en-AU"/>
    </w:rPr>
  </w:style>
  <w:style w:type="character" w:customStyle="1" w:styleId="color11">
    <w:name w:val="color_11"/>
    <w:basedOn w:val="DefaultParagraphFont"/>
    <w:rsid w:val="004E52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369201">
      <w:bodyDiv w:val="1"/>
      <w:marLeft w:val="0"/>
      <w:marRight w:val="0"/>
      <w:marTop w:val="0"/>
      <w:marBottom w:val="0"/>
      <w:divBdr>
        <w:top w:val="none" w:sz="0" w:space="0" w:color="auto"/>
        <w:left w:val="none" w:sz="0" w:space="0" w:color="auto"/>
        <w:bottom w:val="none" w:sz="0" w:space="0" w:color="auto"/>
        <w:right w:val="none" w:sz="0" w:space="0" w:color="auto"/>
      </w:divBdr>
    </w:div>
    <w:div w:id="204007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1001</Words>
  <Characters>5709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dc:creator>
  <cp:keywords/>
  <dc:description/>
  <cp:lastModifiedBy>Bianca Phillips</cp:lastModifiedBy>
  <cp:revision>6</cp:revision>
  <dcterms:created xsi:type="dcterms:W3CDTF">2019-03-15T05:08:00Z</dcterms:created>
  <dcterms:modified xsi:type="dcterms:W3CDTF">2019-03-15T05:27:00Z</dcterms:modified>
</cp:coreProperties>
</file>