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433A" w:rsidRPr="00374120" w:rsidRDefault="00DD3929" w:rsidP="00DD3929">
      <w:pPr>
        <w:rPr>
          <w:rFonts w:ascii="Minion Pro" w:eastAsia="Minion Pro" w:hAnsi="Minion Pro" w:cs="Minion Pro"/>
          <w:b/>
          <w:bCs/>
          <w:color w:val="337AB7"/>
          <w:sz w:val="36"/>
          <w:szCs w:val="36"/>
          <w:lang w:eastAsia="en-US"/>
        </w:rPr>
      </w:pPr>
      <w:r w:rsidRPr="00374120">
        <w:rPr>
          <w:rFonts w:ascii="Minion Pro" w:eastAsia="Minion Pro" w:hAnsi="Minion Pro" w:cs="Minion Pro"/>
          <w:b/>
          <w:bCs/>
          <w:color w:val="337AB7"/>
          <w:sz w:val="36"/>
          <w:szCs w:val="36"/>
          <w:lang w:eastAsia="en-US"/>
        </w:rPr>
        <w:t>A preventative approach to promote food safety Bacterial contamination of domestic refrigerators</w:t>
      </w:r>
    </w:p>
    <w:p w:rsidR="00E37BD1" w:rsidRPr="005D7266" w:rsidRDefault="00E37BD1" w:rsidP="00DD3929">
      <w:pPr>
        <w:rPr>
          <w:rFonts w:ascii="Arial" w:eastAsia="Tw Cen MT" w:hAnsi="Tw Cen MT" w:cs="Tw Cen MT"/>
          <w:sz w:val="18"/>
          <w:szCs w:val="18"/>
          <w:lang w:eastAsia="en-US"/>
        </w:rPr>
      </w:pPr>
      <w:r w:rsidRPr="005D7266">
        <w:rPr>
          <w:rFonts w:ascii="Arial" w:eastAsia="Tw Cen MT" w:hAnsi="Tw Cen MT" w:cs="Tw Cen MT"/>
          <w:sz w:val="18"/>
          <w:szCs w:val="18"/>
          <w:lang w:eastAsia="en-US"/>
        </w:rPr>
        <w:t xml:space="preserve">Name: </w:t>
      </w:r>
      <w:r w:rsidR="00DD3929" w:rsidRPr="005D7266">
        <w:rPr>
          <w:rFonts w:ascii="Arial" w:eastAsia="Tw Cen MT" w:hAnsi="Tw Cen MT" w:cs="Tw Cen MT"/>
          <w:sz w:val="18"/>
          <w:szCs w:val="18"/>
          <w:lang w:eastAsia="en-US"/>
        </w:rPr>
        <w:t>Niloofar Khalaji</w:t>
      </w:r>
    </w:p>
    <w:p w:rsidR="00E37BD1" w:rsidRPr="005D7266" w:rsidRDefault="00E37BD1" w:rsidP="00DD3929">
      <w:pPr>
        <w:rPr>
          <w:rFonts w:ascii="Arial" w:eastAsia="Tw Cen MT" w:hAnsi="Tw Cen MT" w:cs="Tw Cen MT"/>
          <w:sz w:val="18"/>
          <w:szCs w:val="18"/>
          <w:lang w:eastAsia="en-US"/>
        </w:rPr>
      </w:pPr>
      <w:r w:rsidRPr="005D7266">
        <w:rPr>
          <w:rFonts w:ascii="Arial" w:eastAsia="Tw Cen MT" w:hAnsi="Tw Cen MT" w:cs="Tw Cen MT"/>
          <w:sz w:val="18"/>
          <w:szCs w:val="18"/>
          <w:lang w:eastAsia="en-US"/>
        </w:rPr>
        <w:t xml:space="preserve">Affiliation: </w:t>
      </w:r>
      <w:r w:rsidR="00DD3929" w:rsidRPr="005D7266">
        <w:rPr>
          <w:rFonts w:ascii="Arial" w:eastAsia="Tw Cen MT" w:hAnsi="Tw Cen MT" w:cs="Tw Cen MT"/>
          <w:sz w:val="18"/>
          <w:szCs w:val="18"/>
          <w:lang w:eastAsia="en-US"/>
        </w:rPr>
        <w:t>Department of Food and Nutrition Policy and Planning Research, National Nutrition and Food Technology Research Institute, Faculty of Nutrition Sciences and Food Technology, Shahid Beheshti University of Medical Sciences, Tehran, Iran</w:t>
      </w:r>
    </w:p>
    <w:p w:rsidR="00DD3929" w:rsidRPr="005D7266" w:rsidRDefault="009215E3" w:rsidP="00993420">
      <w:pPr>
        <w:rPr>
          <w:rFonts w:ascii="Arial" w:eastAsia="Tw Cen MT" w:hAnsi="Tw Cen MT" w:cs="Tw Cen MT"/>
          <w:sz w:val="18"/>
          <w:szCs w:val="18"/>
          <w:lang w:eastAsia="en-US"/>
        </w:rPr>
      </w:pPr>
      <w:r w:rsidRPr="005D7266">
        <w:rPr>
          <w:rFonts w:ascii="Arial" w:eastAsia="Tw Cen MT" w:hAnsi="Tw Cen MT" w:cs="Tw Cen MT"/>
          <w:sz w:val="18"/>
          <w:szCs w:val="18"/>
          <w:lang w:eastAsia="en-US"/>
        </w:rPr>
        <w:t xml:space="preserve">Co-authors </w:t>
      </w:r>
      <w:r w:rsidR="00DD3929" w:rsidRPr="005D7266">
        <w:rPr>
          <w:rFonts w:ascii="Arial" w:eastAsia="Tw Cen MT" w:hAnsi="Tw Cen MT" w:cs="Tw Cen MT"/>
          <w:sz w:val="18"/>
          <w:szCs w:val="18"/>
          <w:lang w:eastAsia="en-US"/>
        </w:rPr>
        <w:t>Fatemeh Esfarjani, Ramin Khaksar, Haleh Alikhanian, Hedayat Hosseini, Amin Mousavi Khaneghah</w:t>
      </w:r>
    </w:p>
    <w:p w:rsidR="001F1383" w:rsidRPr="005D7266" w:rsidRDefault="001F1383" w:rsidP="005B7D07">
      <w:pPr>
        <w:rPr>
          <w:rFonts w:ascii="Tw Cen MT" w:eastAsia="Tw Cen MT" w:hAnsi="Tw Cen MT" w:cs="Tw Cen MT"/>
          <w:sz w:val="18"/>
          <w:szCs w:val="18"/>
          <w:lang w:eastAsia="en-US"/>
        </w:rPr>
      </w:pPr>
    </w:p>
    <w:p w:rsidR="00E37BD1" w:rsidRPr="005D7266" w:rsidRDefault="00E37BD1" w:rsidP="00EC35F1">
      <w:pPr>
        <w:rPr>
          <w:rFonts w:ascii="Tw Cen MT" w:eastAsia="Tw Cen MT" w:hAnsi="Tw Cen MT" w:cs="Tw Cen MT"/>
          <w:sz w:val="18"/>
          <w:szCs w:val="18"/>
          <w:lang w:eastAsia="en-US"/>
        </w:rPr>
      </w:pPr>
      <w:r w:rsidRPr="005D7266">
        <w:rPr>
          <w:rFonts w:ascii="Tw Cen MT" w:eastAsia="Tw Cen MT" w:hAnsi="Tw Cen MT" w:cs="Tw Cen MT"/>
          <w:sz w:val="18"/>
          <w:szCs w:val="18"/>
          <w:lang w:eastAsia="en-US"/>
        </w:rPr>
        <w:t>Abstract</w:t>
      </w:r>
      <w:r w:rsidR="009215E3" w:rsidRPr="005D7266">
        <w:rPr>
          <w:rFonts w:ascii="Tw Cen MT" w:eastAsia="Tw Cen MT" w:hAnsi="Tw Cen MT" w:cs="Tw Cen MT"/>
          <w:sz w:val="18"/>
          <w:szCs w:val="18"/>
          <w:lang w:eastAsia="en-US"/>
        </w:rPr>
        <w:t xml:space="preserve"> </w:t>
      </w:r>
    </w:p>
    <w:p w:rsidR="00E37BD1" w:rsidRPr="005D7266" w:rsidRDefault="00DD3929" w:rsidP="00EC35F1">
      <w:pPr>
        <w:rPr>
          <w:rFonts w:ascii="Tw Cen MT" w:eastAsia="Tw Cen MT" w:hAnsi="Tw Cen MT" w:cs="Tw Cen MT"/>
          <w:sz w:val="18"/>
          <w:szCs w:val="18"/>
          <w:lang w:eastAsia="en-US"/>
        </w:rPr>
      </w:pPr>
      <w:r w:rsidRPr="005D7266">
        <w:rPr>
          <w:rFonts w:ascii="Tw Cen MT" w:eastAsia="Tw Cen MT" w:hAnsi="Tw Cen MT" w:cs="Tw Cen MT"/>
          <w:sz w:val="18"/>
          <w:szCs w:val="18"/>
          <w:lang w:eastAsia="en-US"/>
        </w:rPr>
        <w:t>Domestic refrigerators could be considered as one of the major potential sources of food-borne diseases, in addition limited data are available regarding the level of contamination of domestic refrigerators in Iran. The purpose of this paper is to detect some of bacterial contamination in domestic refrigerators.</w:t>
      </w:r>
      <w:r w:rsidR="00EC35F1" w:rsidRPr="005D7266">
        <w:rPr>
          <w:rFonts w:ascii="Tw Cen MT" w:eastAsia="Tw Cen MT" w:hAnsi="Tw Cen MT" w:cs="Tw Cen MT"/>
          <w:sz w:val="18"/>
          <w:szCs w:val="18"/>
          <w:lang w:eastAsia="en-US"/>
        </w:rPr>
        <w:t xml:space="preserve"> </w:t>
      </w:r>
      <w:r w:rsidRPr="005D7266">
        <w:rPr>
          <w:rFonts w:ascii="Tw Cen MT" w:eastAsia="Tw Cen MT" w:hAnsi="Tw Cen MT" w:cs="Tw Cen MT"/>
          <w:sz w:val="18"/>
          <w:szCs w:val="18"/>
          <w:lang w:eastAsia="en-US"/>
        </w:rPr>
        <w:t>In total, 104 households were randomly selected from ten health centers in five areas of Tehran, Iran. Visual inspection and temperature evaluation of the households’ refrigerators were done. In addition, the refrigerators were swabbed and analyzed for contaminants using polymerase chain reaction (PCR) method. Screening of the domestic refrigerators by PCR method showed that 51.7 percent of the samples were positive for pathogens as follows: L. monocytogenes 41.6 percent, S. aureus 5.5 percent, Salmonella spp 4.6 percent, and E. coli O157:H7 0 percent; consequently, none of mentioned pathogens were detected in 48.3 percent of the refrigerators. Results of the visual inspection indicated that 57 percent of the refrigerators were on desirable, 36.5 percent were acceptable, and 7 percent were weak conditions. Most of the refrigerators about 44 percent had desirable temperatures. There were no significant correlations between the visual inspection scores, temperature and frequency of isolation of specific pathogens in the domestic refrigerators. A significant correlation was observed between contamination and education of parents ( p</w:t>
      </w:r>
      <w:r w:rsidR="00EC35F1" w:rsidRPr="005D7266">
        <w:rPr>
          <w:rFonts w:ascii="Tw Cen MT" w:eastAsia="Tw Cen MT" w:hAnsi="Tw Cen MT" w:cs="Tw Cen MT"/>
          <w:sz w:val="18"/>
          <w:szCs w:val="18"/>
          <w:lang w:eastAsia="en-US"/>
        </w:rPr>
        <w:t>≤</w:t>
      </w:r>
      <w:r w:rsidRPr="005D7266">
        <w:rPr>
          <w:rFonts w:ascii="Tw Cen MT" w:eastAsia="Tw Cen MT" w:hAnsi="Tw Cen MT" w:cs="Tw Cen MT"/>
          <w:sz w:val="18"/>
          <w:szCs w:val="18"/>
          <w:lang w:eastAsia="en-US"/>
        </w:rPr>
        <w:t>0.05). Determination of the bacterial contamination and evaluating the temperature of domestic refrigerators in Iran can be considered as a novel approach of current study. These findings could be employed in designing and implementing appropriate educational interventions to promote food safety and diminish the risk of food-borne illnesses. Also, obtained results might be applied as introduction for further investigations.</w:t>
      </w:r>
    </w:p>
    <w:p w:rsidR="00374120" w:rsidRPr="00374120" w:rsidRDefault="00374120" w:rsidP="00EC35F1">
      <w:pPr>
        <w:rPr>
          <w:sz w:val="18"/>
          <w:szCs w:val="22"/>
        </w:rPr>
      </w:pPr>
    </w:p>
    <w:p w:rsidR="00374120" w:rsidRPr="00374120" w:rsidRDefault="00374120" w:rsidP="00EC35F1">
      <w:pPr>
        <w:rPr>
          <w:sz w:val="18"/>
          <w:szCs w:val="22"/>
        </w:rPr>
      </w:pPr>
    </w:p>
    <w:p w:rsidR="00374120" w:rsidRPr="005D7266" w:rsidRDefault="00374120" w:rsidP="005D7266">
      <w:pPr>
        <w:pStyle w:val="ListParagraph"/>
        <w:widowControl w:val="0"/>
        <w:numPr>
          <w:ilvl w:val="0"/>
          <w:numId w:val="1"/>
        </w:numPr>
        <w:tabs>
          <w:tab w:val="left" w:pos="384"/>
        </w:tabs>
        <w:spacing w:before="90" w:line="216" w:lineRule="exact"/>
        <w:ind w:left="383" w:right="137" w:hanging="283"/>
        <w:contextualSpacing w:val="0"/>
        <w:jc w:val="both"/>
        <w:rPr>
          <w:rFonts w:ascii="Calibri" w:eastAsia="Calibri" w:hAnsi="Calibri" w:cs="Calibri"/>
          <w:sz w:val="18"/>
          <w:szCs w:val="22"/>
          <w:lang w:eastAsia="en-US"/>
        </w:rPr>
      </w:pPr>
      <w:r w:rsidRPr="005D7266">
        <w:rPr>
          <w:rFonts w:ascii="Calibri" w:eastAsia="Calibri" w:hAnsi="Calibri" w:cs="Calibri"/>
          <w:sz w:val="18"/>
          <w:szCs w:val="22"/>
          <w:lang w:eastAsia="en-US"/>
        </w:rPr>
        <w:t xml:space="preserve">Abdalla, M., Siham, E.S., Yy Ha, A. and Amel, O.B. (2008), “A study of the microbial content of tbe domestic refrigerators in Khartoum area (Khartoum North)”, The Sudan Journal of Veterinary Science And Animal Husbandry, Vol. 47 Nos 1-2, pp. 15-24. </w:t>
      </w:r>
    </w:p>
    <w:p w:rsidR="00374120" w:rsidRPr="005D7266" w:rsidRDefault="00374120" w:rsidP="005D7266">
      <w:pPr>
        <w:pStyle w:val="ListParagraph"/>
        <w:widowControl w:val="0"/>
        <w:numPr>
          <w:ilvl w:val="0"/>
          <w:numId w:val="1"/>
        </w:numPr>
        <w:tabs>
          <w:tab w:val="left" w:pos="384"/>
        </w:tabs>
        <w:spacing w:before="90" w:line="216" w:lineRule="exact"/>
        <w:ind w:left="383" w:right="137" w:hanging="283"/>
        <w:contextualSpacing w:val="0"/>
        <w:jc w:val="both"/>
        <w:rPr>
          <w:rFonts w:ascii="Calibri" w:eastAsia="Calibri" w:hAnsi="Calibri" w:cs="Calibri"/>
          <w:sz w:val="18"/>
          <w:szCs w:val="22"/>
          <w:lang w:eastAsia="en-US"/>
        </w:rPr>
      </w:pPr>
      <w:r w:rsidRPr="005D7266">
        <w:rPr>
          <w:rFonts w:ascii="Calibri" w:eastAsia="Calibri" w:hAnsi="Calibri" w:cs="Calibri"/>
          <w:sz w:val="18"/>
          <w:szCs w:val="22"/>
          <w:lang w:eastAsia="en-US"/>
        </w:rPr>
        <w:t xml:space="preserve">Ahmed, H.A., Megahed, A.A. and Mohammed, G.M. (2004), “Molecular detection of L.monocytogenes pathogenic genes as food poisoning microorganism isolated from ready to eat meals in Port-Said city markets”, Assiut Veterinary Medical Journal, Vol. 132 No. 58, pp. 51-67. </w:t>
      </w:r>
    </w:p>
    <w:p w:rsidR="00374120" w:rsidRPr="005D7266" w:rsidRDefault="00374120" w:rsidP="005D7266">
      <w:pPr>
        <w:pStyle w:val="ListParagraph"/>
        <w:widowControl w:val="0"/>
        <w:numPr>
          <w:ilvl w:val="0"/>
          <w:numId w:val="1"/>
        </w:numPr>
        <w:tabs>
          <w:tab w:val="left" w:pos="384"/>
        </w:tabs>
        <w:spacing w:before="90" w:line="216" w:lineRule="exact"/>
        <w:ind w:left="383" w:right="137" w:hanging="283"/>
        <w:contextualSpacing w:val="0"/>
        <w:jc w:val="both"/>
        <w:rPr>
          <w:rFonts w:ascii="Calibri" w:eastAsia="Calibri" w:hAnsi="Calibri" w:cs="Calibri"/>
          <w:sz w:val="18"/>
          <w:szCs w:val="22"/>
          <w:lang w:eastAsia="en-US"/>
        </w:rPr>
      </w:pPr>
      <w:r w:rsidRPr="005D7266">
        <w:rPr>
          <w:rFonts w:ascii="Calibri" w:eastAsia="Calibri" w:hAnsi="Calibri" w:cs="Calibri"/>
          <w:sz w:val="18"/>
          <w:szCs w:val="22"/>
          <w:lang w:eastAsia="en-US"/>
        </w:rPr>
        <w:t xml:space="preserve">Altunatmaz, S.S., Issa, G. and Aydin, A. (2012), “Detection of airborne psychrotrophic bacteria and fungi in food storage refrigerators”, Brazilian Journal of Microbiology, Vol. 43 No. 4, pp. 1436-1443. </w:t>
      </w:r>
    </w:p>
    <w:p w:rsidR="00374120" w:rsidRPr="005D7266" w:rsidRDefault="00374120" w:rsidP="005D7266">
      <w:pPr>
        <w:pStyle w:val="ListParagraph"/>
        <w:widowControl w:val="0"/>
        <w:numPr>
          <w:ilvl w:val="0"/>
          <w:numId w:val="1"/>
        </w:numPr>
        <w:tabs>
          <w:tab w:val="left" w:pos="384"/>
        </w:tabs>
        <w:spacing w:before="90" w:line="216" w:lineRule="exact"/>
        <w:ind w:left="383" w:right="137" w:hanging="283"/>
        <w:contextualSpacing w:val="0"/>
        <w:jc w:val="both"/>
        <w:rPr>
          <w:rFonts w:ascii="Calibri" w:eastAsia="Calibri" w:hAnsi="Calibri" w:cs="Calibri"/>
          <w:sz w:val="18"/>
          <w:szCs w:val="22"/>
          <w:lang w:eastAsia="en-US"/>
        </w:rPr>
      </w:pPr>
      <w:r w:rsidRPr="005D7266">
        <w:rPr>
          <w:rFonts w:ascii="Calibri" w:eastAsia="Calibri" w:hAnsi="Calibri" w:cs="Calibri"/>
          <w:sz w:val="18"/>
          <w:szCs w:val="22"/>
          <w:lang w:eastAsia="en-US"/>
        </w:rPr>
        <w:t xml:space="preserve">Arbuthnott, J., Coleman, D. and Azavedo, J.S.D. (1990), “Staphylococcal toxins in human disease”, Journal of Applied Bacteriology, Vol. 69 No. S19, pp. 101S-107S. </w:t>
      </w:r>
    </w:p>
    <w:p w:rsidR="00374120" w:rsidRPr="005D7266" w:rsidRDefault="00374120" w:rsidP="005D7266">
      <w:pPr>
        <w:pStyle w:val="ListParagraph"/>
        <w:widowControl w:val="0"/>
        <w:numPr>
          <w:ilvl w:val="0"/>
          <w:numId w:val="1"/>
        </w:numPr>
        <w:tabs>
          <w:tab w:val="left" w:pos="384"/>
        </w:tabs>
        <w:spacing w:before="90" w:line="216" w:lineRule="exact"/>
        <w:ind w:left="383" w:right="137" w:hanging="283"/>
        <w:contextualSpacing w:val="0"/>
        <w:jc w:val="both"/>
        <w:rPr>
          <w:rFonts w:ascii="Calibri" w:eastAsia="Calibri" w:hAnsi="Calibri" w:cs="Calibri"/>
          <w:sz w:val="18"/>
          <w:szCs w:val="22"/>
          <w:lang w:eastAsia="en-US"/>
        </w:rPr>
      </w:pPr>
      <w:r w:rsidRPr="005D7266">
        <w:rPr>
          <w:rFonts w:ascii="Calibri" w:eastAsia="Calibri" w:hAnsi="Calibri" w:cs="Calibri"/>
          <w:sz w:val="18"/>
          <w:szCs w:val="22"/>
          <w:lang w:eastAsia="en-US"/>
        </w:rPr>
        <w:t xml:space="preserve">Authority, E. (2015), “The European Union summary report on trends and sources of zoonoses, zoonotic agents and food-borne outbreaks in 2013”, EFSA Journal, Vol. 13 No. 1, p. 3991. </w:t>
      </w:r>
    </w:p>
    <w:p w:rsidR="00374120" w:rsidRPr="005D7266" w:rsidRDefault="00374120" w:rsidP="005D7266">
      <w:pPr>
        <w:pStyle w:val="ListParagraph"/>
        <w:widowControl w:val="0"/>
        <w:numPr>
          <w:ilvl w:val="0"/>
          <w:numId w:val="1"/>
        </w:numPr>
        <w:tabs>
          <w:tab w:val="left" w:pos="384"/>
        </w:tabs>
        <w:spacing w:before="90" w:line="216" w:lineRule="exact"/>
        <w:ind w:left="383" w:right="137" w:hanging="283"/>
        <w:contextualSpacing w:val="0"/>
        <w:jc w:val="both"/>
        <w:rPr>
          <w:rFonts w:ascii="Calibri" w:eastAsia="Calibri" w:hAnsi="Calibri" w:cs="Calibri"/>
          <w:sz w:val="18"/>
          <w:szCs w:val="22"/>
          <w:lang w:eastAsia="en-US"/>
        </w:rPr>
      </w:pPr>
      <w:r w:rsidRPr="005D7266">
        <w:rPr>
          <w:rFonts w:ascii="Calibri" w:eastAsia="Calibri" w:hAnsi="Calibri" w:cs="Calibri"/>
          <w:sz w:val="18"/>
          <w:szCs w:val="22"/>
          <w:lang w:eastAsia="en-US"/>
        </w:rPr>
        <w:t xml:space="preserve">Azevedo, I., Regalo, M., Mena, C., Almeida, G., Carneiro, L., Teixeira, P., Hogg, T. and Gibbs, P.A. (2005), “Incidence of Listeria spp. in domestic refrigerators in Portugal”, Food Control, Vol. 16 No. 2, pp. 121-124. </w:t>
      </w:r>
    </w:p>
    <w:p w:rsidR="00374120" w:rsidRPr="005D7266" w:rsidRDefault="00374120" w:rsidP="005D7266">
      <w:pPr>
        <w:pStyle w:val="ListParagraph"/>
        <w:widowControl w:val="0"/>
        <w:numPr>
          <w:ilvl w:val="0"/>
          <w:numId w:val="1"/>
        </w:numPr>
        <w:tabs>
          <w:tab w:val="left" w:pos="384"/>
        </w:tabs>
        <w:spacing w:before="90" w:line="216" w:lineRule="exact"/>
        <w:ind w:left="383" w:right="137" w:hanging="283"/>
        <w:contextualSpacing w:val="0"/>
        <w:jc w:val="both"/>
        <w:rPr>
          <w:rFonts w:ascii="Calibri" w:eastAsia="Calibri" w:hAnsi="Calibri" w:cs="Calibri"/>
          <w:sz w:val="18"/>
          <w:szCs w:val="22"/>
          <w:lang w:eastAsia="en-US"/>
        </w:rPr>
      </w:pPr>
      <w:r w:rsidRPr="005D7266">
        <w:rPr>
          <w:rFonts w:ascii="Calibri" w:eastAsia="Calibri" w:hAnsi="Calibri" w:cs="Calibri"/>
          <w:sz w:val="18"/>
          <w:szCs w:val="22"/>
          <w:lang w:eastAsia="en-US"/>
        </w:rPr>
        <w:t>Bassami, M.R. (2012), “Evaluation and comparison of SYBR Green I Real-Time PCR and TaqMan Real-Time PCR methods for quantitative assay of Listeria monocytogenes in nutrient broth and milk”, African Journal of Microbiology Research, Vol. 6 No. 9, pp. 1908-1917.</w:t>
      </w:r>
    </w:p>
    <w:p w:rsidR="00374120" w:rsidRPr="00374120" w:rsidRDefault="00374120" w:rsidP="00EC35F1">
      <w:pPr>
        <w:rPr>
          <w:sz w:val="18"/>
          <w:szCs w:val="22"/>
        </w:rPr>
      </w:pPr>
    </w:p>
    <w:p w:rsidR="00CE6677" w:rsidRPr="005D7266" w:rsidRDefault="00B8710A" w:rsidP="00993420">
      <w:pPr>
        <w:rPr>
          <w:rFonts w:ascii="Arial" w:eastAsia="Tw Cen MT" w:hAnsi="Tw Cen MT" w:cs="Tw Cen MT"/>
          <w:sz w:val="14"/>
          <w:szCs w:val="22"/>
          <w:lang w:eastAsia="en-US"/>
        </w:rPr>
      </w:pPr>
      <w:r w:rsidRPr="005D7266">
        <w:rPr>
          <w:rFonts w:ascii="Arial" w:eastAsia="Tw Cen MT" w:hAnsi="Tw Cen MT" w:cs="Tw Cen MT"/>
          <w:sz w:val="14"/>
          <w:szCs w:val="22"/>
          <w:lang w:eastAsia="en-US"/>
        </w:rPr>
        <w:t>Biography</w:t>
      </w:r>
      <w:r w:rsidR="009215E3" w:rsidRPr="005D7266">
        <w:rPr>
          <w:rFonts w:ascii="Arial" w:eastAsia="Tw Cen MT" w:hAnsi="Tw Cen MT" w:cs="Tw Cen MT"/>
          <w:sz w:val="14"/>
          <w:szCs w:val="22"/>
          <w:lang w:eastAsia="en-US"/>
        </w:rPr>
        <w:t xml:space="preserve"> </w:t>
      </w:r>
    </w:p>
    <w:p w:rsidR="007D233A" w:rsidRPr="005D7266" w:rsidRDefault="00EC35F1" w:rsidP="00EC35F1">
      <w:pPr>
        <w:jc w:val="both"/>
        <w:rPr>
          <w:rFonts w:ascii="Arial" w:eastAsia="Tw Cen MT" w:hAnsi="Tw Cen MT" w:cs="Tw Cen MT"/>
          <w:sz w:val="14"/>
          <w:szCs w:val="22"/>
          <w:lang w:eastAsia="en-US"/>
        </w:rPr>
      </w:pPr>
      <w:r w:rsidRPr="005D7266">
        <w:rPr>
          <w:rFonts w:ascii="Arial" w:eastAsia="Tw Cen MT" w:hAnsi="Tw Cen MT" w:cs="Tw Cen MT"/>
          <w:sz w:val="14"/>
          <w:szCs w:val="22"/>
          <w:lang w:eastAsia="en-US"/>
        </w:rPr>
        <w:t>Niloufar khalaji</w:t>
      </w:r>
      <w:r w:rsidR="00D841B1" w:rsidRPr="005D7266">
        <w:rPr>
          <w:rFonts w:ascii="Arial" w:eastAsia="Tw Cen MT" w:hAnsi="Tw Cen MT" w:cs="Tw Cen MT"/>
          <w:sz w:val="14"/>
          <w:szCs w:val="22"/>
          <w:lang w:eastAsia="en-US"/>
        </w:rPr>
        <w:t xml:space="preserve"> has completed </w:t>
      </w:r>
      <w:r w:rsidR="005B7D07" w:rsidRPr="005D7266">
        <w:rPr>
          <w:rFonts w:ascii="Arial" w:eastAsia="Tw Cen MT" w:hAnsi="Tw Cen MT" w:cs="Tw Cen MT"/>
          <w:sz w:val="14"/>
          <w:szCs w:val="22"/>
          <w:lang w:eastAsia="en-US"/>
        </w:rPr>
        <w:t>her</w:t>
      </w:r>
      <w:r w:rsidR="00D841B1" w:rsidRPr="005D7266">
        <w:rPr>
          <w:rFonts w:ascii="Arial" w:eastAsia="Tw Cen MT" w:hAnsi="Tw Cen MT" w:cs="Tw Cen MT"/>
          <w:sz w:val="14"/>
          <w:szCs w:val="22"/>
          <w:lang w:eastAsia="en-US"/>
        </w:rPr>
        <w:t xml:space="preserve"> </w:t>
      </w:r>
      <w:r w:rsidR="00A50C1E" w:rsidRPr="005D7266">
        <w:rPr>
          <w:rFonts w:ascii="Arial" w:eastAsia="Tw Cen MT" w:hAnsi="Tw Cen MT" w:cs="Tw Cen MT"/>
          <w:sz w:val="14"/>
          <w:szCs w:val="22"/>
          <w:lang w:eastAsia="en-US"/>
        </w:rPr>
        <w:t>PhD</w:t>
      </w:r>
      <w:r w:rsidR="00E37BD1" w:rsidRPr="005D7266">
        <w:rPr>
          <w:rFonts w:ascii="Arial" w:eastAsia="Tw Cen MT" w:hAnsi="Tw Cen MT" w:cs="Tw Cen MT"/>
          <w:sz w:val="14"/>
          <w:szCs w:val="22"/>
          <w:lang w:eastAsia="en-US"/>
        </w:rPr>
        <w:t xml:space="preserve"> at the age of </w:t>
      </w:r>
      <w:r w:rsidRPr="005D7266">
        <w:rPr>
          <w:rFonts w:ascii="Arial" w:eastAsia="Tw Cen MT" w:hAnsi="Tw Cen MT" w:cs="Tw Cen MT"/>
          <w:sz w:val="14"/>
          <w:szCs w:val="22"/>
          <w:lang w:eastAsia="en-US"/>
        </w:rPr>
        <w:t>32</w:t>
      </w:r>
      <w:r w:rsidR="00E37BD1" w:rsidRPr="005D7266">
        <w:rPr>
          <w:rFonts w:ascii="Arial" w:eastAsia="Tw Cen MT" w:hAnsi="Tw Cen MT" w:cs="Tw Cen MT"/>
          <w:sz w:val="14"/>
          <w:szCs w:val="22"/>
          <w:lang w:eastAsia="en-US"/>
        </w:rPr>
        <w:t xml:space="preserve"> years from </w:t>
      </w:r>
      <w:r w:rsidRPr="005D7266">
        <w:rPr>
          <w:rFonts w:ascii="Arial" w:eastAsia="Tw Cen MT" w:hAnsi="Tw Cen MT" w:cs="Tw Cen MT"/>
          <w:sz w:val="14"/>
          <w:szCs w:val="22"/>
          <w:lang w:eastAsia="en-US"/>
        </w:rPr>
        <w:t>TUMS</w:t>
      </w:r>
      <w:r w:rsidR="00D841B1" w:rsidRPr="005D7266">
        <w:rPr>
          <w:rFonts w:ascii="Arial" w:eastAsia="Tw Cen MT" w:hAnsi="Tw Cen MT" w:cs="Tw Cen MT"/>
          <w:sz w:val="14"/>
          <w:szCs w:val="22"/>
          <w:lang w:eastAsia="en-US"/>
        </w:rPr>
        <w:t xml:space="preserve"> University</w:t>
      </w:r>
      <w:r w:rsidR="00E37BD1" w:rsidRPr="005D7266">
        <w:rPr>
          <w:rFonts w:ascii="Arial" w:eastAsia="Tw Cen MT" w:hAnsi="Tw Cen MT" w:cs="Tw Cen MT"/>
          <w:sz w:val="14"/>
          <w:szCs w:val="22"/>
          <w:lang w:eastAsia="en-US"/>
        </w:rPr>
        <w:t xml:space="preserve">, </w:t>
      </w:r>
      <w:r w:rsidRPr="005D7266">
        <w:rPr>
          <w:rFonts w:ascii="Arial" w:eastAsia="Tw Cen MT" w:hAnsi="Tw Cen MT" w:cs="Tw Cen MT"/>
          <w:sz w:val="14"/>
          <w:szCs w:val="22"/>
          <w:lang w:eastAsia="en-US"/>
        </w:rPr>
        <w:t>tehran</w:t>
      </w:r>
      <w:r w:rsidR="00D841B1" w:rsidRPr="005D7266">
        <w:rPr>
          <w:rFonts w:ascii="Arial" w:eastAsia="Tw Cen MT" w:hAnsi="Tw Cen MT" w:cs="Tw Cen MT"/>
          <w:sz w:val="14"/>
          <w:szCs w:val="22"/>
          <w:lang w:eastAsia="en-US"/>
        </w:rPr>
        <w:t>.</w:t>
      </w:r>
      <w:r w:rsidR="00B17C38" w:rsidRPr="005D7266">
        <w:rPr>
          <w:rFonts w:ascii="Arial" w:eastAsia="Tw Cen MT" w:hAnsi="Tw Cen MT" w:cs="Tw Cen MT"/>
          <w:sz w:val="14"/>
          <w:szCs w:val="22"/>
          <w:lang w:eastAsia="en-US"/>
        </w:rPr>
        <w:t xml:space="preserve"> </w:t>
      </w:r>
      <w:r w:rsidR="005B7D07" w:rsidRPr="005D7266">
        <w:rPr>
          <w:rFonts w:ascii="Arial" w:eastAsia="Tw Cen MT" w:hAnsi="Tw Cen MT" w:cs="Tw Cen MT"/>
          <w:sz w:val="14"/>
          <w:szCs w:val="22"/>
          <w:lang w:eastAsia="en-US"/>
        </w:rPr>
        <w:t xml:space="preserve">she is the director of </w:t>
      </w:r>
      <w:r w:rsidRPr="005D7266">
        <w:rPr>
          <w:rFonts w:ascii="Arial" w:eastAsia="Tw Cen MT" w:hAnsi="Tw Cen MT" w:cs="Tw Cen MT"/>
          <w:sz w:val="14"/>
          <w:szCs w:val="22"/>
          <w:lang w:eastAsia="en-US"/>
        </w:rPr>
        <w:t>lab graduated education</w:t>
      </w:r>
      <w:r w:rsidR="00B057F9" w:rsidRPr="005D7266">
        <w:rPr>
          <w:rFonts w:ascii="Arial" w:eastAsia="Tw Cen MT" w:hAnsi="Tw Cen MT" w:cs="Tw Cen MT"/>
          <w:sz w:val="14"/>
          <w:szCs w:val="22"/>
          <w:lang w:eastAsia="en-US"/>
        </w:rPr>
        <w:t xml:space="preserve">, </w:t>
      </w:r>
      <w:r w:rsidRPr="005D7266">
        <w:rPr>
          <w:rFonts w:ascii="Arial" w:eastAsia="Tw Cen MT" w:hAnsi="Tw Cen MT" w:cs="Tw Cen MT"/>
          <w:sz w:val="14"/>
          <w:szCs w:val="22"/>
          <w:lang w:eastAsia="en-US"/>
        </w:rPr>
        <w:t>in sbmu tehran</w:t>
      </w:r>
      <w:r w:rsidR="00B17C38" w:rsidRPr="005D7266">
        <w:rPr>
          <w:rFonts w:ascii="Arial" w:eastAsia="Tw Cen MT" w:hAnsi="Tw Cen MT" w:cs="Tw Cen MT"/>
          <w:sz w:val="14"/>
          <w:szCs w:val="22"/>
          <w:lang w:eastAsia="en-US"/>
        </w:rPr>
        <w:t>.</w:t>
      </w:r>
      <w:r w:rsidR="00F848FD" w:rsidRPr="005D7266">
        <w:rPr>
          <w:rFonts w:ascii="Arial" w:eastAsia="Tw Cen MT" w:hAnsi="Tw Cen MT" w:cs="Tw Cen MT"/>
          <w:sz w:val="14"/>
          <w:szCs w:val="22"/>
          <w:lang w:eastAsia="en-US"/>
        </w:rPr>
        <w:t xml:space="preserve"> </w:t>
      </w:r>
      <w:r w:rsidR="00211F18" w:rsidRPr="005D7266">
        <w:rPr>
          <w:rFonts w:ascii="Arial" w:eastAsia="Tw Cen MT" w:hAnsi="Tw Cen MT" w:cs="Tw Cen MT"/>
          <w:sz w:val="14"/>
          <w:szCs w:val="22"/>
          <w:lang w:eastAsia="en-US"/>
        </w:rPr>
        <w:t xml:space="preserve">She is the interior director of </w:t>
      </w:r>
      <w:r w:rsidR="00571783" w:rsidRPr="005D7266">
        <w:rPr>
          <w:rFonts w:ascii="Arial" w:eastAsia="Tw Cen MT" w:hAnsi="Tw Cen MT" w:cs="Tw Cen MT"/>
          <w:sz w:val="14"/>
          <w:szCs w:val="22"/>
          <w:lang w:eastAsia="en-US"/>
        </w:rPr>
        <w:t>“</w:t>
      </w:r>
      <w:r w:rsidR="00211F18" w:rsidRPr="005D7266">
        <w:rPr>
          <w:rFonts w:ascii="Arial" w:eastAsia="Tw Cen MT" w:hAnsi="Tw Cen MT" w:cs="Tw Cen MT"/>
          <w:sz w:val="14"/>
          <w:szCs w:val="22"/>
          <w:lang w:eastAsia="en-US"/>
        </w:rPr>
        <w:t>Applied Food Biotechnology Journal</w:t>
      </w:r>
      <w:r w:rsidR="00571783" w:rsidRPr="005D7266">
        <w:rPr>
          <w:rFonts w:ascii="Arial" w:eastAsia="Tw Cen MT" w:hAnsi="Tw Cen MT" w:cs="Tw Cen MT"/>
          <w:sz w:val="14"/>
          <w:szCs w:val="22"/>
          <w:lang w:eastAsia="en-US"/>
        </w:rPr>
        <w:t>”</w:t>
      </w:r>
      <w:r w:rsidR="00211F18" w:rsidRPr="005D7266">
        <w:rPr>
          <w:rFonts w:ascii="Arial" w:eastAsia="Tw Cen MT" w:hAnsi="Tw Cen MT" w:cs="Tw Cen MT"/>
          <w:sz w:val="14"/>
          <w:szCs w:val="22"/>
          <w:lang w:eastAsia="en-US"/>
        </w:rPr>
        <w:t xml:space="preserve"> </w:t>
      </w:r>
      <w:r w:rsidRPr="005D7266">
        <w:rPr>
          <w:rFonts w:ascii="Arial" w:eastAsia="Tw Cen MT" w:hAnsi="Tw Cen MT" w:cs="Tw Cen MT"/>
          <w:sz w:val="14"/>
          <w:szCs w:val="22"/>
          <w:lang w:eastAsia="en-US"/>
        </w:rPr>
        <w:t xml:space="preserve">For more information you can see her google scholar link: </w:t>
      </w:r>
      <w:hyperlink r:id="rId8" w:history="1">
        <w:r w:rsidRPr="005D7266">
          <w:rPr>
            <w:rFonts w:ascii="Arial" w:eastAsia="Tw Cen MT" w:hAnsi="Tw Cen MT" w:cs="Tw Cen MT"/>
            <w:sz w:val="14"/>
            <w:szCs w:val="22"/>
            <w:lang w:eastAsia="en-US"/>
          </w:rPr>
          <w:t>https://scholar.google.ca/citations?user=JFWXexsAAAAJ&amp;hl=en</w:t>
        </w:r>
      </w:hyperlink>
    </w:p>
    <w:p w:rsidR="00571783" w:rsidRPr="00374120" w:rsidRDefault="00571783" w:rsidP="00EC35F1">
      <w:pPr>
        <w:jc w:val="both"/>
        <w:rPr>
          <w:sz w:val="18"/>
          <w:szCs w:val="22"/>
        </w:rPr>
      </w:pPr>
      <w:r w:rsidRPr="00374120">
        <w:rPr>
          <w:sz w:val="18"/>
          <w:szCs w:val="22"/>
        </w:rPr>
        <w:t xml:space="preserve">And the journal website: </w:t>
      </w:r>
      <w:hyperlink r:id="rId9" w:history="1">
        <w:r w:rsidRPr="00374120">
          <w:rPr>
            <w:sz w:val="18"/>
            <w:szCs w:val="22"/>
          </w:rPr>
          <w:t>http://journals.sbmu.ac.ir</w:t>
        </w:r>
      </w:hyperlink>
    </w:p>
    <w:p w:rsidR="005B7D07" w:rsidRPr="00374120" w:rsidRDefault="00EC35F1" w:rsidP="005D7266">
      <w:pPr>
        <w:jc w:val="center"/>
        <w:rPr>
          <w:sz w:val="18"/>
          <w:szCs w:val="22"/>
        </w:rPr>
      </w:pPr>
      <w:r w:rsidRPr="00374120">
        <w:rPr>
          <w:sz w:val="18"/>
          <w:szCs w:val="22"/>
        </w:rPr>
        <w:t>Email: nikal.2012@yahoo.com</w:t>
      </w:r>
    </w:p>
    <w:p w:rsidR="000F6C4B" w:rsidRPr="00374120" w:rsidRDefault="00993420" w:rsidP="005D7266">
      <w:pPr>
        <w:rPr>
          <w:sz w:val="18"/>
          <w:szCs w:val="22"/>
        </w:rPr>
      </w:pPr>
      <w:r w:rsidRPr="00374120">
        <w:rPr>
          <w:sz w:val="18"/>
          <w:szCs w:val="22"/>
        </w:rPr>
        <mc:AlternateContent>
          <mc:Choice Requires="wps">
            <w:drawing>
              <wp:anchor distT="0" distB="0" distL="114300" distR="114300" simplePos="0" relativeHeight="251661312" behindDoc="0" locked="0" layoutInCell="1" allowOverlap="1" wp14:anchorId="484EE77E" wp14:editId="1613B168">
                <wp:simplePos x="0" y="0"/>
                <wp:positionH relativeFrom="column">
                  <wp:posOffset>4095115</wp:posOffset>
                </wp:positionH>
                <wp:positionV relativeFrom="paragraph">
                  <wp:posOffset>59055</wp:posOffset>
                </wp:positionV>
                <wp:extent cx="1698625" cy="2084705"/>
                <wp:effectExtent l="0" t="0" r="0" b="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8625" cy="2084705"/>
                        </a:xfrm>
                        <a:prstGeom prst="rect">
                          <a:avLst/>
                        </a:prstGeom>
                        <a:solidFill>
                          <a:srgbClr val="FFFFFF"/>
                        </a:solidFill>
                        <a:ln w="9525">
                          <a:noFill/>
                          <a:miter lim="800000"/>
                          <a:headEnd/>
                          <a:tailEnd/>
                        </a:ln>
                      </wps:spPr>
                      <wps:txbx>
                        <w:txbxContent>
                          <w:p w:rsidR="000F6C4B" w:rsidRDefault="000F6C4B" w:rsidP="000F6C4B">
                            <w:pPr>
                              <w:rPr>
                                <w:lang w:val="en-IN"/>
                              </w:rPr>
                            </w:pPr>
                          </w:p>
                          <w:p w:rsidR="001F1383" w:rsidRPr="001F1383" w:rsidRDefault="001F1383" w:rsidP="000F6C4B">
                            <w:pPr>
                              <w:rPr>
                                <w:lang w:val="en-I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4EE77E" id="Rectangle 6" o:spid="_x0000_s1026" style="position:absolute;margin-left:322.45pt;margin-top:4.65pt;width:133.75pt;height:164.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fyfIQIAAB8EAAAOAAAAZHJzL2Uyb0RvYy54bWysU8Fu2zAMvQ/YPwi6L7aDJE2MOEWRLsOA&#10;bi3W7QNkWbaFyZJGKbGzrx8lu2m23Yb5IJAm+fT4SG1vh06RkwAnjS5oNkspEZqbSuqmoN++Ht6t&#10;KXGe6Yopo0VBz8LR293bN9ve5mJuWqMqAQRBtMt7W9DWe5snieOt6JibGSs0BmsDHfPoQpNUwHpE&#10;71QyT9NV0huoLBgunMO/92OQ7iJ+XQvuH+vaCU9UQZGbjyfEswxnstuyvAFmW8knGuwfWHRMarz0&#10;AnXPPCNHkH9BdZKDcab2M266xNS15CL2gN1k6R/dPLfMitgLiuPsRSb3/2D559MTEFnh7CjRrMMR&#10;fUHRmG6UIKsgT29djlnP9glCg84+GP7dEW32LWaJOwDTt4JVSCoL+clvBcFxWErK/pOpEJ0dvYlK&#10;DTV0ARA1IEMcyPkyEDF4wvFnttqsV/MlJRxj83S9uEmX8Q6Wv5RbcP6DMB0JRkEByUd4dnpwPtBh&#10;+UtKpG+UrA5SqehAU+4VkBPD7TjEb0J312lKk76gmyUSCVXahPq4OJ30uL1KdgVdp+EL5SwPcrzX&#10;VbQ9k2q0kYnSkz5BklFaP5QDJgadSlOdUSkw45biq0KjNfCTkh43tKDux5GBoER91Kj2JlsswkpH&#10;Z7G8maMD15HyOsI0R6iCekpGc+/HZ3C0IJsWb8qm7u5wQrWM2r2ymnjjFkZJpxcT1vzaj1mv73r3&#10;CwAA//8DAFBLAwQUAAYACAAAACEAjxwVwt4AAAAJAQAADwAAAGRycy9kb3ducmV2LnhtbEyPwU7D&#10;MBBE70j8g7VI3KjdJoQmZFMhpJ6AAy1Sr9vYTSLidYidNvw95gTH0Yxm3pSb2fbibEbfOUZYLhQI&#10;w7XTHTcIH/vt3RqED8SaescG4dt42FTXVyUV2l343Zx3oRGxhH1BCG0IQyGlr1tjyS/cYDh6Jzda&#10;ClGOjdQjXWK57eVKqUxa6jgutDSY59bUn7vJIlCW6q+3U/K6f5kyyptZbe8PCvH2Zn56BBHMHP7C&#10;8Isf0aGKTEc3sfaiR8jSNI9RhDwBEf18uUpBHBGS5CEDWZXy/4PqBwAA//8DAFBLAQItABQABgAI&#10;AAAAIQC2gziS/gAAAOEBAAATAAAAAAAAAAAAAAAAAAAAAABbQ29udGVudF9UeXBlc10ueG1sUEsB&#10;Ai0AFAAGAAgAAAAhADj9If/WAAAAlAEAAAsAAAAAAAAAAAAAAAAALwEAAF9yZWxzLy5yZWxzUEsB&#10;Ai0AFAAGAAgAAAAhAB3t/J8hAgAAHwQAAA4AAAAAAAAAAAAAAAAALgIAAGRycy9lMm9Eb2MueG1s&#10;UEsBAi0AFAAGAAgAAAAhAI8cFcLeAAAACQEAAA8AAAAAAAAAAAAAAAAAewQAAGRycy9kb3ducmV2&#10;LnhtbFBLBQYAAAAABAAEAPMAAACGBQAAAAA=&#10;" stroked="f">
                <v:textbox>
                  <w:txbxContent>
                    <w:p w:rsidR="000F6C4B" w:rsidRDefault="000F6C4B" w:rsidP="000F6C4B">
                      <w:pPr>
                        <w:rPr>
                          <w:lang w:val="en-IN"/>
                        </w:rPr>
                      </w:pPr>
                    </w:p>
                    <w:p w:rsidR="001F1383" w:rsidRPr="001F1383" w:rsidRDefault="001F1383" w:rsidP="000F6C4B">
                      <w:pPr>
                        <w:rPr>
                          <w:lang w:val="en-IN"/>
                        </w:rPr>
                      </w:pPr>
                    </w:p>
                  </w:txbxContent>
                </v:textbox>
              </v:rect>
            </w:pict>
          </mc:Fallback>
        </mc:AlternateContent>
      </w:r>
    </w:p>
    <w:p w:rsidR="000F6C4B" w:rsidRDefault="000F6C4B" w:rsidP="005B7D07"/>
    <w:p w:rsidR="000F6C4B" w:rsidRDefault="000F6C4B" w:rsidP="005B7D07"/>
    <w:p w:rsidR="000F6C4B" w:rsidRDefault="000F6C4B" w:rsidP="005B7D07">
      <w:bookmarkStart w:id="0" w:name="_GoBack"/>
      <w:bookmarkEnd w:id="0"/>
    </w:p>
    <w:p w:rsidR="000F6C4B" w:rsidRPr="005B7D07" w:rsidRDefault="000F6C4B" w:rsidP="005B7D07"/>
    <w:sectPr w:rsidR="000F6C4B" w:rsidRPr="005B7D07" w:rsidSect="00A72842">
      <w:headerReference w:type="default" r:id="rId10"/>
      <w:footerReference w:type="default" r:id="rId11"/>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442B" w:rsidRDefault="00A3442B" w:rsidP="00BD61DA">
      <w:r>
        <w:separator/>
      </w:r>
    </w:p>
  </w:endnote>
  <w:endnote w:type="continuationSeparator" w:id="0">
    <w:p w:rsidR="00A3442B" w:rsidRDefault="00A3442B"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58A2" w:rsidRDefault="006758A2" w:rsidP="006758A2">
    <w:pPr>
      <w:pStyle w:val="Footer"/>
      <w:jc w:val="right"/>
    </w:pPr>
    <w:r w:rsidRPr="006758A2">
      <w:t>http://3dprinting-medical.alliedacademies.com/</w:t>
    </w:r>
  </w:p>
  <w:p w:rsidR="006758A2" w:rsidRDefault="006758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442B" w:rsidRDefault="00A3442B" w:rsidP="00BD61DA">
      <w:r>
        <w:separator/>
      </w:r>
    </w:p>
  </w:footnote>
  <w:footnote w:type="continuationSeparator" w:id="0">
    <w:p w:rsidR="00A3442B" w:rsidRDefault="00A3442B" w:rsidP="00BD61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58A2" w:rsidRDefault="006758A2" w:rsidP="006758A2">
    <w:pPr>
      <w:pStyle w:val="Header"/>
      <w:jc w:val="right"/>
      <w:rPr>
        <w:sz w:val="30"/>
        <w:szCs w:val="30"/>
      </w:rPr>
    </w:pPr>
    <w:r w:rsidRPr="006758A2">
      <w:rPr>
        <w:sz w:val="30"/>
        <w:szCs w:val="30"/>
      </w:rPr>
      <w:t>3D Printing and Medicine Annual Congress</w:t>
    </w:r>
  </w:p>
  <w:p w:rsidR="006758A2" w:rsidRPr="006758A2" w:rsidRDefault="006758A2" w:rsidP="006758A2">
    <w:pPr>
      <w:pStyle w:val="Header"/>
      <w:jc w:val="right"/>
      <w:rPr>
        <w:sz w:val="20"/>
        <w:szCs w:val="20"/>
      </w:rPr>
    </w:pPr>
    <w:r w:rsidRPr="006758A2">
      <w:rPr>
        <w:sz w:val="20"/>
        <w:szCs w:val="20"/>
      </w:rPr>
      <w:t>Las Vegas, Nevada, USA | October 5-6, 2017</w:t>
    </w:r>
  </w:p>
  <w:p w:rsidR="00BD61DA" w:rsidRPr="00BD61DA" w:rsidRDefault="00BD61DA">
    <w:pPr>
      <w:pStyle w:val="Header"/>
      <w:rPr>
        <w:lang w:val="en-I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8E1306"/>
    <w:multiLevelType w:val="hybridMultilevel"/>
    <w:tmpl w:val="11FC5FAC"/>
    <w:lvl w:ilvl="0" w:tplc="A348A694">
      <w:start w:val="1"/>
      <w:numFmt w:val="decimal"/>
      <w:lvlText w:val="%1."/>
      <w:lvlJc w:val="left"/>
      <w:pPr>
        <w:ind w:left="462" w:hanging="360"/>
      </w:pPr>
      <w:rPr>
        <w:rFonts w:hint="default"/>
      </w:rPr>
    </w:lvl>
    <w:lvl w:ilvl="1" w:tplc="04090019" w:tentative="1">
      <w:start w:val="1"/>
      <w:numFmt w:val="lowerLetter"/>
      <w:lvlText w:val="%2."/>
      <w:lvlJc w:val="left"/>
      <w:pPr>
        <w:ind w:left="1182" w:hanging="360"/>
      </w:pPr>
    </w:lvl>
    <w:lvl w:ilvl="2" w:tplc="0409001B" w:tentative="1">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2332F"/>
    <w:rsid w:val="0002392A"/>
    <w:rsid w:val="00074C9C"/>
    <w:rsid w:val="000D6718"/>
    <w:rsid w:val="000F6C4B"/>
    <w:rsid w:val="001B06AE"/>
    <w:rsid w:val="001F1383"/>
    <w:rsid w:val="00211F18"/>
    <w:rsid w:val="0023795B"/>
    <w:rsid w:val="00265E72"/>
    <w:rsid w:val="002C359D"/>
    <w:rsid w:val="002C3D9B"/>
    <w:rsid w:val="003057DC"/>
    <w:rsid w:val="0031455A"/>
    <w:rsid w:val="00363668"/>
    <w:rsid w:val="00374120"/>
    <w:rsid w:val="00384441"/>
    <w:rsid w:val="003A3C5A"/>
    <w:rsid w:val="003B78DC"/>
    <w:rsid w:val="00437503"/>
    <w:rsid w:val="00441F91"/>
    <w:rsid w:val="00483CAB"/>
    <w:rsid w:val="004D7813"/>
    <w:rsid w:val="004E62DD"/>
    <w:rsid w:val="004F0441"/>
    <w:rsid w:val="00571783"/>
    <w:rsid w:val="005B4B32"/>
    <w:rsid w:val="005B607D"/>
    <w:rsid w:val="005B7D07"/>
    <w:rsid w:val="005D7266"/>
    <w:rsid w:val="00654259"/>
    <w:rsid w:val="006758A2"/>
    <w:rsid w:val="007341F9"/>
    <w:rsid w:val="0078229D"/>
    <w:rsid w:val="007B0D32"/>
    <w:rsid w:val="007D00E7"/>
    <w:rsid w:val="007D233A"/>
    <w:rsid w:val="007D5AD0"/>
    <w:rsid w:val="007D65C7"/>
    <w:rsid w:val="0080430B"/>
    <w:rsid w:val="008747F9"/>
    <w:rsid w:val="008E2F78"/>
    <w:rsid w:val="008E737B"/>
    <w:rsid w:val="00912F54"/>
    <w:rsid w:val="009215E3"/>
    <w:rsid w:val="00993420"/>
    <w:rsid w:val="009E52D9"/>
    <w:rsid w:val="00A3442B"/>
    <w:rsid w:val="00A4183E"/>
    <w:rsid w:val="00A50C1E"/>
    <w:rsid w:val="00A67093"/>
    <w:rsid w:val="00A72842"/>
    <w:rsid w:val="00AA5A30"/>
    <w:rsid w:val="00AC5543"/>
    <w:rsid w:val="00AF61EB"/>
    <w:rsid w:val="00B03DB8"/>
    <w:rsid w:val="00B057F9"/>
    <w:rsid w:val="00B17C38"/>
    <w:rsid w:val="00B44878"/>
    <w:rsid w:val="00B8710A"/>
    <w:rsid w:val="00BA2068"/>
    <w:rsid w:val="00BA6511"/>
    <w:rsid w:val="00BD61DA"/>
    <w:rsid w:val="00C07C5B"/>
    <w:rsid w:val="00C07F85"/>
    <w:rsid w:val="00C578FF"/>
    <w:rsid w:val="00C828BF"/>
    <w:rsid w:val="00CE6677"/>
    <w:rsid w:val="00D605F8"/>
    <w:rsid w:val="00D734FE"/>
    <w:rsid w:val="00D841B1"/>
    <w:rsid w:val="00DC433A"/>
    <w:rsid w:val="00DD3929"/>
    <w:rsid w:val="00E1608A"/>
    <w:rsid w:val="00E37BD1"/>
    <w:rsid w:val="00E63452"/>
    <w:rsid w:val="00EC35F1"/>
    <w:rsid w:val="00ED2B89"/>
    <w:rsid w:val="00F26034"/>
    <w:rsid w:val="00F848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DF7A114-DCA5-40EA-BB3C-19A769329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cholar.google.ca/citations?user=JFWXexsAAAAJ&amp;hl=e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journals.sbmu.ac.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0BF5C-189A-448F-BDF2-CAFAAF2E6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669</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فرزانه شهراز</cp:lastModifiedBy>
  <cp:revision>4</cp:revision>
  <dcterms:created xsi:type="dcterms:W3CDTF">2017-12-26T07:53:00Z</dcterms:created>
  <dcterms:modified xsi:type="dcterms:W3CDTF">2018-01-21T06:35:00Z</dcterms:modified>
</cp:coreProperties>
</file>