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0ADD58" w14:textId="77777777" w:rsidR="00364977" w:rsidRDefault="00BF79ED">
      <w:pPr>
        <w:pStyle w:val="Title"/>
      </w:pPr>
      <w:r>
        <w:t>Abstract</w:t>
      </w:r>
    </w:p>
    <w:p w14:paraId="2BDA568E" w14:textId="77777777" w:rsidR="00364977" w:rsidRDefault="00BF79ED">
      <w:pPr>
        <w:pStyle w:val="Heading1"/>
        <w:spacing w:before="198"/>
      </w:pPr>
      <w:r>
        <w:t>Objectives:</w:t>
      </w:r>
    </w:p>
    <w:p w14:paraId="72375A67" w14:textId="77777777" w:rsidR="00364977" w:rsidRDefault="00BF79ED">
      <w:pPr>
        <w:pStyle w:val="BodyText"/>
        <w:spacing w:before="187" w:line="259" w:lineRule="auto"/>
      </w:pPr>
      <w:r>
        <w:t>To assess the efficacy and patient acceptability of different treatment modalities for antenatal management of anemia and the relative effects on length of stay.</w:t>
      </w:r>
    </w:p>
    <w:p w14:paraId="509412EF" w14:textId="77777777" w:rsidR="00364977" w:rsidRDefault="00BF79ED">
      <w:pPr>
        <w:pStyle w:val="Heading1"/>
      </w:pPr>
      <w:r>
        <w:t>Method:</w:t>
      </w:r>
    </w:p>
    <w:p w14:paraId="5BA73BDB" w14:textId="77777777" w:rsidR="00364977" w:rsidRDefault="00BF79ED">
      <w:pPr>
        <w:pStyle w:val="BodyText"/>
        <w:spacing w:before="192" w:line="259" w:lineRule="auto"/>
        <w:ind w:right="95" w:firstLine="52"/>
      </w:pPr>
      <w:r>
        <w:t>A retrospective audit over a period of six months from July 2019- December 2019 (n:70)</w:t>
      </w:r>
      <w:r>
        <w:t xml:space="preserve"> in Obstetric unit at King Abdul Aziz Hospital evaluating the anemia status of women in pregnancy and the management options offered were reviewed through their electronic medical records. Booking status, parity, age of gestation at diagnosis of anemia, cl</w:t>
      </w:r>
      <w:r>
        <w:t>inical setup and any co existent conditions (chronic anemias, hemoglobinopathies) were evaluated against the treatment modalities offered: Oral iron, Parenteral multiple doses regime, Single dose ferric carboxymaltose and blood transfusion.</w:t>
      </w:r>
    </w:p>
    <w:p w14:paraId="39B02304" w14:textId="77777777" w:rsidR="00364977" w:rsidRDefault="00BF79ED">
      <w:pPr>
        <w:pStyle w:val="Heading1"/>
        <w:spacing w:before="158"/>
        <w:rPr>
          <w:b w:val="0"/>
        </w:rPr>
      </w:pPr>
      <w:r>
        <w:t>Results</w:t>
      </w:r>
      <w:r>
        <w:rPr>
          <w:b w:val="0"/>
        </w:rPr>
        <w:t>:</w:t>
      </w:r>
    </w:p>
    <w:p w14:paraId="353C1DDB" w14:textId="77777777" w:rsidR="00364977" w:rsidRDefault="00BF79ED">
      <w:pPr>
        <w:pStyle w:val="BodyText"/>
        <w:spacing w:before="186" w:line="259" w:lineRule="auto"/>
        <w:ind w:right="117"/>
      </w:pPr>
      <w:r>
        <w:t>Single</w:t>
      </w:r>
      <w:r>
        <w:t xml:space="preserve"> dose Iron regimens (Ferinject) as offered to 49 women had the least use of length of stay, at a maximum of 2 days if administered along with Vitamin B12 injections (n: 37) followed by 1 day (n: 18) when given as sole treatment. This was followed by Blood </w:t>
      </w:r>
      <w:r>
        <w:t>transfusion (n:6) with periods varying from 3-11 days, and lastly multiple dose Iron regimens (n:6) and average length of stay being 4 days.</w:t>
      </w:r>
    </w:p>
    <w:p w14:paraId="5E522662" w14:textId="77777777" w:rsidR="00364977" w:rsidRDefault="00BF79ED">
      <w:pPr>
        <w:pStyle w:val="BodyText"/>
        <w:spacing w:line="259" w:lineRule="auto"/>
        <w:ind w:right="157"/>
      </w:pPr>
      <w:r>
        <w:t>Social acceptability and compliance to treatment was higher with the Ferinject group than other, with once weekly d</w:t>
      </w:r>
      <w:r>
        <w:t>osing. In the whole cohort, only one patient developed mild rashes with Ferinject infusion and responded to targeted treatment.</w:t>
      </w:r>
    </w:p>
    <w:p w14:paraId="109776EA" w14:textId="77777777" w:rsidR="00364977" w:rsidRDefault="00BF79ED">
      <w:pPr>
        <w:pStyle w:val="Heading1"/>
      </w:pPr>
      <w:r>
        <w:t>Conclusion:</w:t>
      </w:r>
    </w:p>
    <w:p w14:paraId="1DB9A568" w14:textId="77777777" w:rsidR="00364977" w:rsidRDefault="00BF79ED">
      <w:pPr>
        <w:pStyle w:val="BodyText"/>
        <w:spacing w:before="186" w:line="259" w:lineRule="auto"/>
        <w:ind w:right="221"/>
      </w:pPr>
      <w:r>
        <w:t>Effective use of resources and patient compliance is better achieved with single dose modern regimens of Iron for co</w:t>
      </w:r>
      <w:r>
        <w:t>rrection of anemia rather than conventional methods. Careful patient selection and providing layman patient leaflets have improved impacts on outcomes of management.</w:t>
      </w:r>
    </w:p>
    <w:p w14:paraId="760B5BAC" w14:textId="77777777" w:rsidR="00364977" w:rsidRDefault="00364977">
      <w:pPr>
        <w:spacing w:line="259" w:lineRule="auto"/>
        <w:sectPr w:rsidR="00364977">
          <w:type w:val="continuous"/>
          <w:pgSz w:w="12240" w:h="15840"/>
          <w:pgMar w:top="1440" w:right="1380" w:bottom="280" w:left="1340" w:header="720" w:footer="720" w:gutter="0"/>
          <w:cols w:space="720"/>
        </w:sectPr>
      </w:pPr>
    </w:p>
    <w:p w14:paraId="2CC8CDF8" w14:textId="77777777" w:rsidR="00364977" w:rsidRDefault="00BF79ED">
      <w:pPr>
        <w:pStyle w:val="Heading1"/>
        <w:spacing w:before="22"/>
      </w:pPr>
      <w:r>
        <w:lastRenderedPageBreak/>
        <w:t>Refereneces:</w:t>
      </w:r>
    </w:p>
    <w:p w14:paraId="2E927FEE" w14:textId="77777777" w:rsidR="00364977" w:rsidRDefault="00364977">
      <w:pPr>
        <w:pStyle w:val="BodyText"/>
        <w:ind w:left="0"/>
        <w:rPr>
          <w:b/>
        </w:rPr>
      </w:pPr>
    </w:p>
    <w:p w14:paraId="4542A953" w14:textId="77777777" w:rsidR="00364977" w:rsidRDefault="00364977">
      <w:pPr>
        <w:pStyle w:val="BodyText"/>
        <w:spacing w:before="3"/>
        <w:ind w:left="0"/>
        <w:rPr>
          <w:b/>
          <w:sz w:val="24"/>
        </w:rPr>
      </w:pPr>
    </w:p>
    <w:p w14:paraId="2966A328" w14:textId="77777777" w:rsidR="00364977" w:rsidRDefault="00BF79ED">
      <w:pPr>
        <w:ind w:left="100"/>
        <w:rPr>
          <w:sz w:val="24"/>
        </w:rPr>
      </w:pPr>
      <w:r>
        <w:rPr>
          <w:sz w:val="24"/>
        </w:rPr>
        <w:t>Nice Guidelines, Antenatal care for uncomplicated pregnancies Feb</w:t>
      </w:r>
      <w:r>
        <w:rPr>
          <w:sz w:val="24"/>
        </w:rPr>
        <w:t xml:space="preserve"> 2019</w:t>
      </w:r>
    </w:p>
    <w:p w14:paraId="618DEC61" w14:textId="77777777" w:rsidR="00364977" w:rsidRDefault="00BF79ED">
      <w:pPr>
        <w:spacing w:before="182" w:line="259" w:lineRule="auto"/>
        <w:ind w:left="100" w:right="798"/>
        <w:rPr>
          <w:sz w:val="24"/>
        </w:rPr>
      </w:pPr>
      <w:r>
        <w:rPr>
          <w:sz w:val="24"/>
        </w:rPr>
        <w:t>Iron deficiency and Iron deficiency anemia in women’s Health, L. Percy, D. Mansour, The Obstetrician and Gynecologist 2017;19</w:t>
      </w:r>
    </w:p>
    <w:p w14:paraId="1CB21D95" w14:textId="36F69A48" w:rsidR="00364977" w:rsidRDefault="00BF79ED">
      <w:pPr>
        <w:spacing w:before="160" w:line="388" w:lineRule="auto"/>
        <w:ind w:left="100"/>
        <w:rPr>
          <w:sz w:val="24"/>
        </w:rPr>
      </w:pPr>
      <w:r>
        <w:rPr>
          <w:sz w:val="24"/>
        </w:rPr>
        <w:t>https://</w:t>
      </w:r>
      <w:hyperlink r:id="rId4" w:anchor="PREGNANCY">
        <w:r>
          <w:rPr>
            <w:sz w:val="24"/>
          </w:rPr>
          <w:t>www.medicines.org.uk/emc/product/5910/smpc#PREGNANCY</w:t>
        </w:r>
      </w:hyperlink>
      <w:r>
        <w:rPr>
          <w:sz w:val="24"/>
        </w:rPr>
        <w:t xml:space="preserve"> https://</w:t>
      </w:r>
      <w:hyperlink r:id="rId5">
        <w:r>
          <w:rPr>
            <w:sz w:val="24"/>
          </w:rPr>
          <w:t>www.medicines.org.uk/emc/product/5910/pil</w:t>
        </w:r>
      </w:hyperlink>
    </w:p>
    <w:p w14:paraId="2D899E51" w14:textId="138B4958" w:rsidR="00BF79ED" w:rsidRDefault="00BF79ED">
      <w:pPr>
        <w:spacing w:before="160" w:line="388" w:lineRule="auto"/>
        <w:ind w:left="100"/>
        <w:rPr>
          <w:sz w:val="24"/>
        </w:rPr>
      </w:pPr>
    </w:p>
    <w:p w14:paraId="6189661F" w14:textId="4A445F95" w:rsidR="00BF79ED" w:rsidRDefault="00BF79ED">
      <w:pPr>
        <w:spacing w:before="160" w:line="388" w:lineRule="auto"/>
        <w:ind w:left="100"/>
        <w:rPr>
          <w:b/>
          <w:bCs/>
          <w:sz w:val="36"/>
          <w:szCs w:val="36"/>
        </w:rPr>
      </w:pPr>
      <w:r w:rsidRPr="00BF79ED">
        <w:rPr>
          <w:b/>
          <w:bCs/>
          <w:sz w:val="36"/>
          <w:szCs w:val="36"/>
        </w:rPr>
        <w:t>BIOGRAPHY</w:t>
      </w:r>
    </w:p>
    <w:p w14:paraId="3C13A581" w14:textId="0FB419E3" w:rsidR="00BF79ED" w:rsidRPr="00BF79ED" w:rsidRDefault="00BF79ED">
      <w:pPr>
        <w:spacing w:before="160" w:line="388" w:lineRule="auto"/>
        <w:ind w:left="100"/>
        <w:rPr>
          <w:sz w:val="28"/>
          <w:szCs w:val="28"/>
        </w:rPr>
      </w:pPr>
      <w:r w:rsidRPr="00BF79ED">
        <w:rPr>
          <w:sz w:val="28"/>
          <w:szCs w:val="28"/>
        </w:rPr>
        <w:t>Dr Aneela Ambareen MBBS, MRCOG, DOWH, FACOG</w:t>
      </w:r>
      <w:r w:rsidRPr="00BF79ED">
        <w:rPr>
          <w:b/>
          <w:bCs/>
          <w:sz w:val="28"/>
          <w:szCs w:val="28"/>
        </w:rPr>
        <w:t xml:space="preserve">, </w:t>
      </w:r>
      <w:r w:rsidRPr="00BF79ED">
        <w:rPr>
          <w:sz w:val="28"/>
          <w:szCs w:val="28"/>
        </w:rPr>
        <w:t xml:space="preserve">has special interest in Women’s health and mental health issues. Currently working as Specialist Gynecologist in the NHS in London UK, she is keen on Patient safety and Preventative </w:t>
      </w:r>
      <w:r>
        <w:rPr>
          <w:sz w:val="28"/>
          <w:szCs w:val="28"/>
        </w:rPr>
        <w:t xml:space="preserve">Obstetric </w:t>
      </w:r>
      <w:r w:rsidRPr="00BF79ED">
        <w:rPr>
          <w:sz w:val="28"/>
          <w:szCs w:val="28"/>
        </w:rPr>
        <w:t>Medicine</w:t>
      </w:r>
      <w:r>
        <w:rPr>
          <w:sz w:val="28"/>
          <w:szCs w:val="28"/>
        </w:rPr>
        <w:t>.</w:t>
      </w:r>
    </w:p>
    <w:sectPr w:rsidR="00BF79ED" w:rsidRPr="00BF79ED">
      <w:pgSz w:w="12240" w:h="15840"/>
      <w:pgMar w:top="1420" w:right="138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rlito">
    <w:altName w:val="Calibri"/>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364977"/>
    <w:rsid w:val="00364977"/>
    <w:rsid w:val="00BF79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C71C3"/>
  <w15:docId w15:val="{5DCD47F9-A31F-4EA5-9601-A21672E6F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rlito" w:eastAsia="Carlito" w:hAnsi="Carlito" w:cs="Carlito"/>
    </w:rPr>
  </w:style>
  <w:style w:type="paragraph" w:styleId="Heading1">
    <w:name w:val="heading 1"/>
    <w:basedOn w:val="Normal"/>
    <w:uiPriority w:val="9"/>
    <w:qFormat/>
    <w:pPr>
      <w:spacing w:before="159"/>
      <w:ind w:left="10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28"/>
      <w:szCs w:val="28"/>
    </w:rPr>
  </w:style>
  <w:style w:type="paragraph" w:styleId="Title">
    <w:name w:val="Title"/>
    <w:basedOn w:val="Normal"/>
    <w:uiPriority w:val="10"/>
    <w:qFormat/>
    <w:pPr>
      <w:spacing w:line="438" w:lineRule="exact"/>
      <w:ind w:left="100"/>
    </w:pPr>
    <w:rPr>
      <w:b/>
      <w:bCs/>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edicines.org.uk/emc/product/5910/pil" TargetMode="External"/><Relationship Id="rId4" Type="http://schemas.openxmlformats.org/officeDocument/2006/relationships/hyperlink" Target="http://www.medicines.org.uk/emc/product/5910/smp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366</Words>
  <Characters>2091</Characters>
  <Application>Microsoft Office Word</Application>
  <DocSecurity>0</DocSecurity>
  <Lines>17</Lines>
  <Paragraphs>4</Paragraphs>
  <ScaleCrop>false</ScaleCrop>
  <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doc.dowite@gmail.com</dc:creator>
  <cp:lastModifiedBy>doc.dowite@gmail.com</cp:lastModifiedBy>
  <cp:revision>2</cp:revision>
  <dcterms:created xsi:type="dcterms:W3CDTF">2020-10-26T10:50:00Z</dcterms:created>
  <dcterms:modified xsi:type="dcterms:W3CDTF">2020-10-26T10:59:00Z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2020-07-23T00:00:00Z</vt:filetime>
  </property>
  <property fmtid="{D5CDD505-2E9C-101B-9397-08002B2CF9AE}" pid="3" name="Creator">
    <vt:lpwstr>Microsoft® Word 2016</vt:lpwstr>
  </property>
  <property fmtid="{D5CDD505-2E9C-101B-9397-08002B2CF9AE}" pid="4" name="LastSaved">
    <vt:filetime>2020-10-26T00:00:00Z</vt:filetime>
  </property>
</Properties>
</file>