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058D4" w:rsidRDefault="00000000">
      <w:pPr>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The role of antenatal ultrasound scan in early detection of alobar holoprosencephaly: a case report</w:t>
      </w:r>
    </w:p>
    <w:p w14:paraId="00000002" w14:textId="77777777" w:rsidR="004058D4" w:rsidRDefault="00000000">
      <w:pPr>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Mariam E. Mohammed</w:t>
      </w:r>
      <w:r>
        <w:rPr>
          <w:rFonts w:ascii="Times New Roman" w:eastAsia="Times New Roman" w:hAnsi="Times New Roman" w:cs="Times New Roman"/>
          <w:sz w:val="24"/>
          <w:szCs w:val="24"/>
          <w:vertAlign w:val="superscript"/>
        </w:rPr>
        <w:t xml:space="preserve"> 1</w:t>
      </w:r>
      <w:r>
        <w:rPr>
          <w:rFonts w:ascii="Times New Roman" w:eastAsia="Times New Roman" w:hAnsi="Times New Roman" w:cs="Times New Roman"/>
          <w:sz w:val="24"/>
          <w:szCs w:val="24"/>
        </w:rPr>
        <w:t xml:space="preserve">, Shymaa R. Mohamed </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Elsayed M. Elsayed </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Eman</w:t>
      </w:r>
      <w:proofErr w:type="spellEnd"/>
      <w:r>
        <w:rPr>
          <w:rFonts w:ascii="Times New Roman" w:eastAsia="Times New Roman" w:hAnsi="Times New Roman" w:cs="Times New Roman"/>
          <w:sz w:val="24"/>
          <w:szCs w:val="24"/>
        </w:rPr>
        <w:t xml:space="preserve"> H. Ibrahim </w:t>
      </w:r>
      <w:r>
        <w:rPr>
          <w:rFonts w:ascii="Times New Roman" w:eastAsia="Times New Roman" w:hAnsi="Times New Roman" w:cs="Times New Roman"/>
          <w:sz w:val="24"/>
          <w:szCs w:val="24"/>
          <w:vertAlign w:val="superscript"/>
        </w:rPr>
        <w:t>4</w:t>
      </w:r>
    </w:p>
    <w:p w14:paraId="00000003" w14:textId="77777777" w:rsidR="004058D4"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1 </w:t>
      </w:r>
      <w:r>
        <w:rPr>
          <w:rFonts w:ascii="Times New Roman" w:eastAsia="Times New Roman" w:hAnsi="Times New Roman" w:cs="Times New Roman"/>
          <w:sz w:val="24"/>
          <w:szCs w:val="24"/>
        </w:rPr>
        <w:t>College of Medicine, Gulf Medical University, UAE,</w:t>
      </w: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 xml:space="preserve">Thumbay Fujairah hospital, </w:t>
      </w:r>
      <w:r>
        <w:rPr>
          <w:rFonts w:ascii="Times New Roman" w:eastAsia="Times New Roman" w:hAnsi="Times New Roman" w:cs="Times New Roman"/>
          <w:sz w:val="24"/>
          <w:szCs w:val="24"/>
          <w:vertAlign w:val="superscript"/>
        </w:rPr>
        <w:t xml:space="preserve">3 </w:t>
      </w:r>
      <w:proofErr w:type="spellStart"/>
      <w:r>
        <w:rPr>
          <w:rFonts w:ascii="Times New Roman" w:eastAsia="Times New Roman" w:hAnsi="Times New Roman" w:cs="Times New Roman"/>
          <w:sz w:val="24"/>
          <w:szCs w:val="24"/>
        </w:rPr>
        <w:t>Klaba</w:t>
      </w:r>
      <w:proofErr w:type="spellEnd"/>
      <w:r>
        <w:rPr>
          <w:rFonts w:ascii="Times New Roman" w:eastAsia="Times New Roman" w:hAnsi="Times New Roman" w:cs="Times New Roman"/>
          <w:sz w:val="24"/>
          <w:szCs w:val="24"/>
        </w:rPr>
        <w:t xml:space="preserve"> hospital, </w:t>
      </w:r>
      <w:r>
        <w:rPr>
          <w:rFonts w:ascii="Times New Roman" w:eastAsia="Times New Roman" w:hAnsi="Times New Roman" w:cs="Times New Roman"/>
          <w:sz w:val="24"/>
          <w:szCs w:val="24"/>
          <w:vertAlign w:val="superscript"/>
        </w:rPr>
        <w:t xml:space="preserve">4 </w:t>
      </w:r>
      <w:r>
        <w:rPr>
          <w:rFonts w:ascii="Times New Roman" w:eastAsia="Times New Roman" w:hAnsi="Times New Roman" w:cs="Times New Roman"/>
          <w:sz w:val="24"/>
          <w:szCs w:val="24"/>
        </w:rPr>
        <w:t>Department of biomedical science, Gulf Medical University, Ajman, UAE.</w:t>
      </w:r>
    </w:p>
    <w:p w14:paraId="00000004" w14:textId="77777777" w:rsidR="004058D4" w:rsidRDefault="004058D4">
      <w:pPr>
        <w:rPr>
          <w:sz w:val="24"/>
          <w:szCs w:val="24"/>
        </w:rPr>
      </w:pPr>
    </w:p>
    <w:p w14:paraId="00000005" w14:textId="77777777" w:rsidR="004058D4" w:rsidRDefault="004058D4">
      <w:pPr>
        <w:rPr>
          <w:sz w:val="24"/>
          <w:szCs w:val="24"/>
        </w:rPr>
      </w:pPr>
    </w:p>
    <w:p w14:paraId="00000006" w14:textId="77777777" w:rsidR="004058D4" w:rsidRDefault="004058D4">
      <w:pPr>
        <w:rPr>
          <w:sz w:val="24"/>
          <w:szCs w:val="24"/>
        </w:rPr>
      </w:pPr>
    </w:p>
    <w:p w14:paraId="00000007" w14:textId="617E976C" w:rsidR="004058D4" w:rsidRDefault="000D36F7">
      <w:pPr>
        <w:rPr>
          <w:sz w:val="24"/>
          <w:szCs w:val="24"/>
        </w:rPr>
      </w:pPr>
      <w:r>
        <w:rPr>
          <w:sz w:val="24"/>
          <w:szCs w:val="24"/>
        </w:rPr>
        <w:t>Introduction: Holoprosencephaly (HPE) is a developmental defect that affects the brain structure due to failure or incomplete division of prosencephalon at 3rd week to 4th week of gestation into cerebral hemispheres. HPE can occur as an isolated malformation or often as a part of various syndromes.</w:t>
      </w:r>
    </w:p>
    <w:p w14:paraId="00000008" w14:textId="77777777" w:rsidR="004058D4" w:rsidRDefault="00000000">
      <w:pPr>
        <w:rPr>
          <w:sz w:val="24"/>
          <w:szCs w:val="24"/>
        </w:rPr>
      </w:pPr>
      <w:r>
        <w:rPr>
          <w:sz w:val="24"/>
          <w:szCs w:val="24"/>
        </w:rPr>
        <w:t xml:space="preserve"> </w:t>
      </w:r>
    </w:p>
    <w:p w14:paraId="00000009" w14:textId="77777777" w:rsidR="004058D4" w:rsidRDefault="00000000">
      <w:pPr>
        <w:rPr>
          <w:sz w:val="24"/>
          <w:szCs w:val="24"/>
        </w:rPr>
      </w:pPr>
      <w:r>
        <w:rPr>
          <w:sz w:val="24"/>
          <w:szCs w:val="24"/>
        </w:rPr>
        <w:t>Objects: This case aims to highlight the crucial role of regular</w:t>
      </w:r>
    </w:p>
    <w:p w14:paraId="0000000A" w14:textId="77777777" w:rsidR="004058D4" w:rsidRDefault="00000000">
      <w:pPr>
        <w:rPr>
          <w:sz w:val="24"/>
          <w:szCs w:val="24"/>
        </w:rPr>
      </w:pPr>
      <w:r>
        <w:rPr>
          <w:sz w:val="24"/>
          <w:szCs w:val="24"/>
        </w:rPr>
        <w:t xml:space="preserve">antenatal ultrasound scans in the early detection of fatal anomalies like alobar holoprosencephaly. </w:t>
      </w:r>
    </w:p>
    <w:p w14:paraId="0000000B" w14:textId="77777777" w:rsidR="004058D4" w:rsidRDefault="00000000">
      <w:pPr>
        <w:rPr>
          <w:sz w:val="24"/>
          <w:szCs w:val="24"/>
        </w:rPr>
      </w:pPr>
      <w:r>
        <w:rPr>
          <w:sz w:val="24"/>
          <w:szCs w:val="24"/>
        </w:rPr>
        <w:t xml:space="preserve"> </w:t>
      </w:r>
    </w:p>
    <w:p w14:paraId="0000000C" w14:textId="77777777" w:rsidR="004058D4" w:rsidRDefault="00000000">
      <w:pPr>
        <w:rPr>
          <w:sz w:val="24"/>
          <w:szCs w:val="24"/>
        </w:rPr>
      </w:pPr>
      <w:r>
        <w:rPr>
          <w:sz w:val="24"/>
          <w:szCs w:val="24"/>
        </w:rPr>
        <w:t xml:space="preserve">Methods: A case of a 42-year-old pregnant woman (Gravida 3, Para 2) presented to the radiology department for an antenatal check-up at 16 weeks of gestation. </w:t>
      </w:r>
    </w:p>
    <w:p w14:paraId="0000000D" w14:textId="77777777" w:rsidR="004058D4" w:rsidRDefault="00000000">
      <w:pPr>
        <w:rPr>
          <w:sz w:val="24"/>
          <w:szCs w:val="24"/>
        </w:rPr>
      </w:pPr>
      <w:r>
        <w:rPr>
          <w:sz w:val="24"/>
          <w:szCs w:val="24"/>
        </w:rPr>
        <w:t xml:space="preserve"> </w:t>
      </w:r>
    </w:p>
    <w:p w14:paraId="0000000E" w14:textId="77777777" w:rsidR="004058D4" w:rsidRDefault="00000000">
      <w:pPr>
        <w:rPr>
          <w:sz w:val="24"/>
          <w:szCs w:val="24"/>
        </w:rPr>
      </w:pPr>
      <w:r>
        <w:rPr>
          <w:sz w:val="24"/>
          <w:szCs w:val="24"/>
        </w:rPr>
        <w:t xml:space="preserve">Results &amp; discussion: The ultrasound scan in our case </w:t>
      </w:r>
      <w:proofErr w:type="gramStart"/>
      <w:r>
        <w:rPr>
          <w:sz w:val="24"/>
          <w:szCs w:val="24"/>
        </w:rPr>
        <w:t>revealed</w:t>
      </w:r>
      <w:proofErr w:type="gramEnd"/>
    </w:p>
    <w:p w14:paraId="0000000F" w14:textId="77777777" w:rsidR="004058D4" w:rsidRDefault="00000000">
      <w:pPr>
        <w:rPr>
          <w:sz w:val="24"/>
          <w:szCs w:val="24"/>
        </w:rPr>
      </w:pPr>
      <w:r>
        <w:rPr>
          <w:sz w:val="24"/>
          <w:szCs w:val="24"/>
        </w:rPr>
        <w:t xml:space="preserve">a large central </w:t>
      </w:r>
      <w:proofErr w:type="spellStart"/>
      <w:r>
        <w:rPr>
          <w:sz w:val="24"/>
          <w:szCs w:val="24"/>
        </w:rPr>
        <w:t>monoventricle</w:t>
      </w:r>
      <w:proofErr w:type="spellEnd"/>
      <w:r>
        <w:rPr>
          <w:sz w:val="24"/>
          <w:szCs w:val="24"/>
        </w:rPr>
        <w:t xml:space="preserve"> with a surrounding small rim of cerebral cortex,</w:t>
      </w:r>
    </w:p>
    <w:p w14:paraId="00000010" w14:textId="77777777" w:rsidR="004058D4" w:rsidRDefault="00000000">
      <w:pPr>
        <w:rPr>
          <w:sz w:val="24"/>
          <w:szCs w:val="24"/>
        </w:rPr>
      </w:pPr>
      <w:r>
        <w:rPr>
          <w:sz w:val="24"/>
          <w:szCs w:val="24"/>
        </w:rPr>
        <w:t>fused thalami and absence of midbrain structures like septum pellucidum, corpus</w:t>
      </w:r>
    </w:p>
    <w:p w14:paraId="00000011" w14:textId="77777777" w:rsidR="004058D4" w:rsidRDefault="00000000">
      <w:pPr>
        <w:rPr>
          <w:sz w:val="24"/>
          <w:szCs w:val="24"/>
        </w:rPr>
      </w:pPr>
      <w:r>
        <w:rPr>
          <w:sz w:val="24"/>
          <w:szCs w:val="24"/>
        </w:rPr>
        <w:t>callosum, and third ventricle which is suggestive of alobar holoprosencephaly.</w:t>
      </w:r>
    </w:p>
    <w:p w14:paraId="00000012" w14:textId="77777777" w:rsidR="004058D4" w:rsidRDefault="00000000">
      <w:pPr>
        <w:rPr>
          <w:sz w:val="24"/>
          <w:szCs w:val="24"/>
        </w:rPr>
      </w:pPr>
      <w:proofErr w:type="gramStart"/>
      <w:r>
        <w:rPr>
          <w:sz w:val="24"/>
          <w:szCs w:val="24"/>
        </w:rPr>
        <w:t>Ultrasound  also</w:t>
      </w:r>
      <w:proofErr w:type="gramEnd"/>
      <w:r>
        <w:rPr>
          <w:sz w:val="24"/>
          <w:szCs w:val="24"/>
        </w:rPr>
        <w:t xml:space="preserve"> detected other associated visceral anomalies like</w:t>
      </w:r>
    </w:p>
    <w:p w14:paraId="00000013" w14:textId="77777777" w:rsidR="004058D4" w:rsidRDefault="00000000">
      <w:pPr>
        <w:rPr>
          <w:sz w:val="24"/>
          <w:szCs w:val="24"/>
        </w:rPr>
      </w:pPr>
      <w:r>
        <w:rPr>
          <w:sz w:val="24"/>
          <w:szCs w:val="24"/>
        </w:rPr>
        <w:t>omphalocele, atrioventricular (AV) canal defect and left sided clubfoot. 3D</w:t>
      </w:r>
    </w:p>
    <w:p w14:paraId="00000014" w14:textId="77777777" w:rsidR="004058D4" w:rsidRDefault="00000000">
      <w:pPr>
        <w:rPr>
          <w:sz w:val="24"/>
          <w:szCs w:val="24"/>
        </w:rPr>
      </w:pPr>
      <w:r>
        <w:rPr>
          <w:sz w:val="24"/>
          <w:szCs w:val="24"/>
        </w:rPr>
        <w:t>ultrasound didn’t reveal any midfacial abnormalities. Holoprosencephaly is a</w:t>
      </w:r>
    </w:p>
    <w:p w14:paraId="00000015" w14:textId="77777777" w:rsidR="004058D4" w:rsidRDefault="00000000">
      <w:pPr>
        <w:rPr>
          <w:sz w:val="24"/>
          <w:szCs w:val="24"/>
        </w:rPr>
      </w:pPr>
      <w:r>
        <w:rPr>
          <w:sz w:val="24"/>
          <w:szCs w:val="24"/>
        </w:rPr>
        <w:t>rare congenital malformation but one of the most common among central nervous</w:t>
      </w:r>
    </w:p>
    <w:p w14:paraId="00000016" w14:textId="77777777" w:rsidR="004058D4" w:rsidRDefault="00000000">
      <w:pPr>
        <w:rPr>
          <w:sz w:val="24"/>
          <w:szCs w:val="24"/>
        </w:rPr>
      </w:pPr>
      <w:r>
        <w:rPr>
          <w:sz w:val="24"/>
          <w:szCs w:val="24"/>
        </w:rPr>
        <w:t>system anomalies. Although the exact cause of holoprosencephaly remains</w:t>
      </w:r>
    </w:p>
    <w:p w14:paraId="00000017" w14:textId="77777777" w:rsidR="004058D4" w:rsidRDefault="00000000">
      <w:pPr>
        <w:rPr>
          <w:sz w:val="24"/>
          <w:szCs w:val="24"/>
        </w:rPr>
      </w:pPr>
      <w:r>
        <w:rPr>
          <w:sz w:val="24"/>
          <w:szCs w:val="24"/>
        </w:rPr>
        <w:t>unclear, it is suspected to result from a combination of genetic and</w:t>
      </w:r>
    </w:p>
    <w:p w14:paraId="00000018" w14:textId="77777777" w:rsidR="004058D4" w:rsidRDefault="00000000">
      <w:pPr>
        <w:rPr>
          <w:sz w:val="24"/>
          <w:szCs w:val="24"/>
        </w:rPr>
      </w:pPr>
      <w:r>
        <w:rPr>
          <w:sz w:val="24"/>
          <w:szCs w:val="24"/>
        </w:rPr>
        <w:t>environmental factors. HPE spectrum has four main types from the</w:t>
      </w:r>
    </w:p>
    <w:p w14:paraId="00000019" w14:textId="77777777" w:rsidR="004058D4" w:rsidRDefault="00000000">
      <w:pPr>
        <w:rPr>
          <w:sz w:val="24"/>
          <w:szCs w:val="24"/>
        </w:rPr>
      </w:pPr>
      <w:r>
        <w:rPr>
          <w:sz w:val="24"/>
          <w:szCs w:val="24"/>
        </w:rPr>
        <w:t xml:space="preserve">severe to the mild: alobar, </w:t>
      </w:r>
      <w:proofErr w:type="spellStart"/>
      <w:r>
        <w:rPr>
          <w:sz w:val="24"/>
          <w:szCs w:val="24"/>
        </w:rPr>
        <w:t>semilobar</w:t>
      </w:r>
      <w:proofErr w:type="spellEnd"/>
      <w:r>
        <w:rPr>
          <w:sz w:val="24"/>
          <w:szCs w:val="24"/>
        </w:rPr>
        <w:t xml:space="preserve">, lobar HPE and </w:t>
      </w:r>
      <w:proofErr w:type="spellStart"/>
      <w:r>
        <w:rPr>
          <w:sz w:val="24"/>
          <w:szCs w:val="24"/>
        </w:rPr>
        <w:t>syntelencephaly</w:t>
      </w:r>
      <w:proofErr w:type="spellEnd"/>
      <w:r>
        <w:rPr>
          <w:sz w:val="24"/>
          <w:szCs w:val="24"/>
        </w:rPr>
        <w:t>/midline interhemispheric variant.</w:t>
      </w:r>
    </w:p>
    <w:p w14:paraId="0000001A" w14:textId="77777777" w:rsidR="004058D4" w:rsidRDefault="00000000">
      <w:pPr>
        <w:rPr>
          <w:sz w:val="24"/>
          <w:szCs w:val="24"/>
        </w:rPr>
      </w:pPr>
      <w:r>
        <w:rPr>
          <w:sz w:val="24"/>
          <w:szCs w:val="24"/>
        </w:rPr>
        <w:br/>
        <w:t>Conclusion:</w:t>
      </w:r>
    </w:p>
    <w:p w14:paraId="0000001B" w14:textId="77777777" w:rsidR="004058D4" w:rsidRDefault="00000000">
      <w:pPr>
        <w:rPr>
          <w:sz w:val="24"/>
          <w:szCs w:val="24"/>
        </w:rPr>
      </w:pPr>
      <w:r>
        <w:rPr>
          <w:sz w:val="24"/>
          <w:szCs w:val="24"/>
        </w:rPr>
        <w:t>Alobar holoprosencephaly is the most severe form of holoprosencephaly, and regular antenatal ultrasound scans play a crucial role in the early detection of this fatal anomaly.</w:t>
      </w:r>
    </w:p>
    <w:p w14:paraId="0000001C" w14:textId="77777777" w:rsidR="004058D4" w:rsidRDefault="00000000">
      <w:pPr>
        <w:rPr>
          <w:sz w:val="24"/>
          <w:szCs w:val="24"/>
        </w:rPr>
      </w:pPr>
      <w:r>
        <w:rPr>
          <w:sz w:val="24"/>
          <w:szCs w:val="24"/>
        </w:rPr>
        <w:t>.</w:t>
      </w:r>
    </w:p>
    <w:sectPr w:rsidR="004058D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8D4"/>
    <w:rsid w:val="000D36F7"/>
    <w:rsid w:val="003A23F0"/>
    <w:rsid w:val="004058D4"/>
    <w:rsid w:val="007332E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decimalSymbol w:val="."/>
  <w:listSeparator w:val=","/>
  <w15:docId w15:val="{D531C306-B54D-A649-A7D6-DB1B93452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311</Words>
  <Characters>1777</Characters>
  <Application>Microsoft Office Word</Application>
  <DocSecurity>0</DocSecurity>
  <Lines>14</Lines>
  <Paragraphs>4</Paragraphs>
  <ScaleCrop>false</ScaleCrop>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Eman5485</cp:lastModifiedBy>
  <cp:revision>2</cp:revision>
  <dcterms:created xsi:type="dcterms:W3CDTF">2024-10-09T22:52:00Z</dcterms:created>
  <dcterms:modified xsi:type="dcterms:W3CDTF">2024-10-09T22:52:00Z</dcterms:modified>
</cp:coreProperties>
</file>