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endnotes.xml" ContentType="application/vnd.openxmlformats-officedocument.wordprocessingml.endnotes+xml"/>
  <Override PartName="/word/fontTable.xml" ContentType="application/vnd.openxmlformats-officedocument.wordprocessingml.fontTable+xml"/>
  <Override PartName="/word/footnotes.xml" ContentType="application/vnd.openxmlformats-officedocument.wordprocessingml.footnotes+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spacing w:after="0"/>
        <w:ind w:firstLine="708"/>
        <w:jc w:val="center"/>
        <w:rPr>
          <w:rFonts w:hint="default" w:ascii="Times New Roman" w:hAnsi="Times New Roman" w:cs="Times New Roman"/>
          <w:b/>
          <w:sz w:val="24"/>
          <w:szCs w:val="24"/>
          <w:lang w:val="en-US"/>
        </w:rPr>
      </w:pPr>
      <w:r>
        <w:rPr>
          <w:rFonts w:hint="default" w:ascii="Times New Roman" w:hAnsi="Times New Roman" w:cs="Times New Roman"/>
          <w:b/>
          <w:sz w:val="24"/>
          <w:szCs w:val="24"/>
          <w:lang w:val="en-US"/>
        </w:rPr>
        <w:t>Genital endometriosis</w:t>
      </w:r>
      <w:r>
        <w:rPr>
          <w:rFonts w:hint="default" w:ascii="Times New Roman" w:hAnsi="Times New Roman" w:cs="Times New Roman"/>
          <w:b/>
          <w:sz w:val="24"/>
          <w:szCs w:val="24"/>
          <w:lang w:val="en-US"/>
        </w:rPr>
        <w:t xml:space="preserve"> and extragenital diseases of</w:t>
      </w:r>
      <w:r>
        <w:rPr>
          <w:rFonts w:hint="default" w:ascii="Times New Roman" w:hAnsi="Times New Roman" w:cs="Times New Roman"/>
          <w:b/>
          <w:sz w:val="24"/>
          <w:szCs w:val="24"/>
          <w:lang w:val="en-US"/>
        </w:rPr>
        <w:t xml:space="preserve"> women </w:t>
      </w:r>
      <w:r>
        <w:rPr>
          <w:rFonts w:hint="default" w:ascii="Times New Roman" w:hAnsi="Times New Roman" w:cs="Times New Roman"/>
          <w:b/>
          <w:sz w:val="24"/>
          <w:szCs w:val="24"/>
          <w:lang w:val="en-US"/>
        </w:rPr>
        <w:t>in</w:t>
      </w:r>
      <w:r>
        <w:rPr>
          <w:rFonts w:hint="default" w:ascii="Times New Roman" w:hAnsi="Times New Roman" w:cs="Times New Roman"/>
          <w:b/>
          <w:sz w:val="24"/>
          <w:szCs w:val="24"/>
          <w:lang w:val="en-US"/>
        </w:rPr>
        <w:t xml:space="preserve"> reproductive age</w:t>
      </w:r>
    </w:p>
    <w:p>
      <w:pPr>
        <w:spacing w:after="0"/>
        <w:ind w:firstLine="708"/>
        <w:jc w:val="center"/>
        <w:rPr>
          <w:rFonts w:hint="default" w:ascii="Times New Roman" w:hAnsi="Times New Roman" w:cs="Times New Roman"/>
          <w:b/>
          <w:sz w:val="24"/>
          <w:szCs w:val="24"/>
          <w:lang w:val="en-US"/>
        </w:rPr>
      </w:pPr>
    </w:p>
    <w:p>
      <w:pPr>
        <w:spacing w:after="0"/>
        <w:ind w:firstLine="708"/>
        <w:jc w:val="center"/>
        <w:rPr>
          <w:rFonts w:hint="default" w:ascii="Times New Roman" w:hAnsi="Times New Roman" w:cs="Times New Roman"/>
          <w:b/>
          <w:sz w:val="24"/>
          <w:szCs w:val="24"/>
          <w:lang w:val="en-US"/>
        </w:rPr>
      </w:pPr>
      <w:r>
        <w:rPr>
          <w:rFonts w:hint="default" w:ascii="Times New Roman" w:hAnsi="Times New Roman" w:cs="Times New Roman"/>
          <w:b/>
          <w:sz w:val="24"/>
          <w:szCs w:val="24"/>
          <w:lang w:val="en-US"/>
        </w:rPr>
        <w:t>G</w:t>
      </w:r>
      <w:r>
        <w:rPr>
          <w:rFonts w:hint="default" w:ascii="Times New Roman" w:hAnsi="Times New Roman" w:cs="Times New Roman"/>
          <w:b/>
          <w:sz w:val="24"/>
          <w:szCs w:val="24"/>
          <w:lang w:val="en-US"/>
        </w:rPr>
        <w:t xml:space="preserve">urbanova </w:t>
      </w:r>
      <w:r>
        <w:rPr>
          <w:rFonts w:hint="default" w:ascii="Times New Roman" w:hAnsi="Times New Roman" w:cs="Times New Roman"/>
          <w:b/>
          <w:sz w:val="24"/>
          <w:szCs w:val="24"/>
          <w:lang w:val="en-US"/>
        </w:rPr>
        <w:t>J</w:t>
      </w:r>
      <w:r>
        <w:rPr>
          <w:rFonts w:hint="default" w:ascii="Times New Roman" w:hAnsi="Times New Roman" w:cs="Times New Roman"/>
          <w:b/>
          <w:sz w:val="24"/>
          <w:szCs w:val="24"/>
          <w:lang w:val="en-US"/>
        </w:rPr>
        <w:t xml:space="preserve">.F.,  </w:t>
      </w:r>
      <w:r>
        <w:rPr>
          <w:rFonts w:hint="default" w:ascii="Times New Roman" w:hAnsi="Times New Roman" w:cs="Times New Roman"/>
          <w:b/>
          <w:sz w:val="24"/>
          <w:szCs w:val="24"/>
          <w:lang w:val="en-US"/>
        </w:rPr>
        <w:t xml:space="preserve">maharramova N.T., </w:t>
      </w:r>
      <w:r>
        <w:rPr>
          <w:rFonts w:hint="default" w:ascii="Times New Roman" w:hAnsi="Times New Roman" w:cs="Times New Roman"/>
          <w:b/>
          <w:sz w:val="24"/>
          <w:szCs w:val="24"/>
          <w:lang w:val="en-US"/>
        </w:rPr>
        <w:t>Alizade S.F., Badalova A.A.</w:t>
      </w:r>
    </w:p>
    <w:p>
      <w:pPr>
        <w:spacing w:after="0"/>
        <w:ind w:firstLine="708"/>
        <w:jc w:val="center"/>
        <w:rPr>
          <w:rFonts w:hint="default" w:ascii="Times New Roman" w:hAnsi="Times New Roman" w:cs="Times New Roman"/>
          <w:b/>
          <w:sz w:val="24"/>
          <w:szCs w:val="24"/>
          <w:lang w:val="en-US"/>
        </w:rPr>
      </w:pPr>
    </w:p>
    <w:p>
      <w:pPr>
        <w:spacing w:after="0"/>
        <w:ind w:firstLine="708"/>
        <w:jc w:val="center"/>
        <w:rPr>
          <w:rFonts w:hint="default" w:ascii="Times New Roman" w:hAnsi="Times New Roman" w:cs="Times New Roman"/>
          <w:b/>
          <w:sz w:val="24"/>
          <w:szCs w:val="24"/>
          <w:lang w:val="en-US"/>
        </w:rPr>
      </w:pPr>
      <w:r>
        <w:rPr>
          <w:rFonts w:hint="default" w:ascii="Times New Roman" w:hAnsi="Times New Roman" w:cs="Times New Roman"/>
          <w:b/>
          <w:sz w:val="24"/>
          <w:szCs w:val="24"/>
          <w:lang w:val="en-US"/>
        </w:rPr>
        <w:t xml:space="preserve">Scientific </w:t>
      </w:r>
      <w:r>
        <w:rPr>
          <w:rFonts w:hint="default" w:ascii="Times New Roman" w:hAnsi="Times New Roman" w:cs="Times New Roman"/>
          <w:b/>
          <w:sz w:val="24"/>
          <w:szCs w:val="24"/>
          <w:lang w:val="en-US"/>
        </w:rPr>
        <w:t>Research Institute of Obstetrics and Gynecology</w:t>
      </w:r>
    </w:p>
    <w:p>
      <w:pPr>
        <w:spacing w:after="0"/>
        <w:ind w:firstLine="708"/>
        <w:jc w:val="center"/>
        <w:rPr>
          <w:rFonts w:hint="default" w:ascii="Times New Roman" w:hAnsi="Times New Roman" w:cs="Times New Roman"/>
          <w:b/>
          <w:sz w:val="24"/>
          <w:szCs w:val="24"/>
          <w:lang w:val="ru-RU"/>
        </w:rPr>
      </w:pPr>
      <w:r>
        <w:rPr>
          <w:rFonts w:hint="default" w:ascii="Times New Roman" w:hAnsi="Times New Roman" w:cs="Times New Roman"/>
          <w:b/>
          <w:sz w:val="24"/>
          <w:szCs w:val="24"/>
          <w:lang w:val="ru-RU"/>
        </w:rPr>
        <w:t>Azerbaijan, Baku</w:t>
      </w:r>
    </w:p>
    <w:p>
      <w:pPr>
        <w:spacing w:after="0"/>
        <w:ind w:firstLine="708"/>
        <w:jc w:val="center"/>
        <w:rPr>
          <w:rFonts w:hint="default" w:ascii="Times New Roman" w:hAnsi="Times New Roman" w:cs="Times New Roman"/>
          <w:b/>
          <w:sz w:val="24"/>
          <w:szCs w:val="24"/>
          <w:lang w:val="ru-RU"/>
        </w:rPr>
      </w:pPr>
    </w:p>
    <w:p>
      <w:pPr>
        <w:spacing w:after="0"/>
        <w:ind w:firstLine="708"/>
        <w:jc w:val="both"/>
        <w:rPr>
          <w:rFonts w:hint="default" w:ascii="Times New Roman" w:hAnsi="Times New Roman" w:cs="Times New Roman"/>
          <w:sz w:val="24"/>
          <w:szCs w:val="24"/>
          <w:lang w:val="en-US"/>
        </w:rPr>
      </w:pPr>
      <w:r>
        <w:rPr>
          <w:rFonts w:hint="default" w:ascii="Times New Roman" w:hAnsi="Times New Roman" w:eastAsia="SimSun" w:cs="Times New Roman"/>
          <w:b/>
          <w:bCs/>
          <w:sz w:val="24"/>
          <w:szCs w:val="24"/>
        </w:rPr>
        <w:t>Statement of the Problem</w:t>
      </w:r>
      <w:r>
        <w:rPr>
          <w:rFonts w:hint="default" w:ascii="Times New Roman" w:hAnsi="Times New Roman" w:eastAsia="SimSun" w:cs="Times New Roman"/>
          <w:sz w:val="24"/>
          <w:szCs w:val="24"/>
        </w:rPr>
        <w:t>:</w:t>
      </w:r>
      <w:r>
        <w:rPr>
          <w:rFonts w:hint="default" w:ascii="Times New Roman" w:hAnsi="Times New Roman" w:eastAsia="SimSun" w:cs="Times New Roman"/>
          <w:sz w:val="24"/>
          <w:szCs w:val="24"/>
          <w:lang w:val="en-US"/>
        </w:rPr>
        <w:t xml:space="preserve"> </w:t>
      </w:r>
      <w:r>
        <w:rPr>
          <w:rFonts w:hint="default" w:ascii="Times New Roman" w:hAnsi="Times New Roman" w:cs="Times New Roman"/>
          <w:sz w:val="24"/>
          <w:szCs w:val="24"/>
          <w:lang w:val="en-US"/>
        </w:rPr>
        <w:t xml:space="preserve">One of the serious, urgent problems of modern society, which for a long time has a certain practical significance, is the reproductive health of women. Despite the age-old study of issues related to the reproductive health of women in the structure of gynecological diseases, genital endometriosis (GE) remains of particular importance. From a modern point of view, this disease is considered as a medical and social problem, this is due to the fact that 176 million women worldwide suffer from this disease, that is, every 10th woman aged 15 to 49 years. Considering the above, the purpose of our study was: to assess the clinical and diagnostic state of genital endometriosis in women of reproductive age. </w:t>
      </w:r>
    </w:p>
    <w:p>
      <w:pPr>
        <w:spacing w:after="0"/>
        <w:ind w:firstLine="708"/>
        <w:jc w:val="both"/>
        <w:rPr>
          <w:rFonts w:hint="default" w:ascii="Times New Roman" w:hAnsi="Times New Roman" w:cs="Times New Roman"/>
          <w:sz w:val="24"/>
          <w:szCs w:val="24"/>
          <w:lang w:val="en-US"/>
        </w:rPr>
      </w:pPr>
      <w:r>
        <w:rPr>
          <w:rFonts w:hint="default" w:ascii="Times New Roman" w:hAnsi="Times New Roman" w:eastAsia="SimSun" w:cs="Times New Roman"/>
          <w:b/>
          <w:bCs/>
          <w:sz w:val="24"/>
          <w:szCs w:val="24"/>
        </w:rPr>
        <w:t>Methodology and Theoretical Orientation</w:t>
      </w:r>
      <w:r>
        <w:rPr>
          <w:rFonts w:hint="default" w:ascii="Times New Roman" w:hAnsi="Times New Roman" w:eastAsia="SimSun" w:cs="Times New Roman"/>
          <w:sz w:val="24"/>
          <w:szCs w:val="24"/>
        </w:rPr>
        <w:t xml:space="preserve">: </w:t>
      </w:r>
      <w:r>
        <w:rPr>
          <w:rFonts w:hint="default" w:ascii="Times New Roman" w:hAnsi="Times New Roman" w:cs="Times New Roman"/>
          <w:sz w:val="24"/>
          <w:szCs w:val="24"/>
          <w:lang w:val="en-US"/>
        </w:rPr>
        <w:t xml:space="preserve">This study involved 120 patients of reproductive age with GE. The average age of women was 35±15 years. Clinical and diagnostic studies of patients revealed the following forms of GE: peritoneal endometriosis was detected in 51 (42.5%) cases; extraperitoneal endometriosis - in 38 (31.7%); endometriosis of the body of the uterus - in 19 (15.8%); retrocervical endometriosis was noted in 12 (10%) cases. Considering the various forms of localization of endometriosis in the examined patients, it should be noted that ovarian endometriosis was noted in 21 (17.5%) cases; endometriotic ovarian cysts - in 25 (20.8%); endometriosis of the fallopian tubes - in 5 (4.2%) cases. Endometriosis of the vagina and vulva was registered in 17 (14.2%) cases; endometriosis of the vaginal part of the cervix in 15 (12.5%) cases. According to the ENZIAN classification, the parameters of the area and depth of endometrioid heteropathies were assessed. In particular: Stage I (1-5 points) was noted in 42 (35%) cases; stage II (6-15 points) in 47 (39.2%); Stage III (16-40 points) - in 29 (24.2%); IV stage (more than 40 points) - in 2 (1.6%) cases. </w:t>
      </w:r>
    </w:p>
    <w:p>
      <w:pPr>
        <w:spacing w:after="0"/>
        <w:ind w:firstLine="708"/>
        <w:jc w:val="both"/>
        <w:rPr>
          <w:rFonts w:hint="default" w:ascii="Times New Roman" w:hAnsi="Times New Roman" w:cs="Times New Roman"/>
          <w:sz w:val="24"/>
          <w:szCs w:val="24"/>
          <w:lang w:val="en-US"/>
        </w:rPr>
      </w:pPr>
      <w:r>
        <w:rPr>
          <w:rFonts w:hint="default" w:ascii="Times New Roman" w:hAnsi="Times New Roman" w:eastAsia="SimSun" w:cs="Times New Roman"/>
          <w:b/>
          <w:bCs/>
          <w:sz w:val="24"/>
          <w:szCs w:val="24"/>
        </w:rPr>
        <w:t>Findings:</w:t>
      </w:r>
      <w:r>
        <w:rPr>
          <w:rFonts w:hint="default" w:ascii="Times New Roman" w:hAnsi="Times New Roman" w:eastAsia="SimSun" w:cs="Times New Roman"/>
          <w:sz w:val="24"/>
          <w:szCs w:val="24"/>
          <w:lang w:val="en-US"/>
        </w:rPr>
        <w:t xml:space="preserve"> </w:t>
      </w:r>
      <w:r>
        <w:rPr>
          <w:rFonts w:hint="default" w:ascii="Times New Roman" w:hAnsi="Times New Roman" w:cs="Times New Roman"/>
          <w:sz w:val="24"/>
          <w:szCs w:val="24"/>
          <w:lang w:val="en-US"/>
        </w:rPr>
        <w:t>Among extragenital diseases, endocrine diseases were noted in 31 (25.8%) cases (diabetes mellitus in 13 (10.8%) cases, thyroid diseases (hypothyroidism, goiter) in 18 (15%) cases). On the 2nd place were diseases of the urinary system, which accounted for 21 (17.5%) cases, mainly pyelonephritis was registered in 11 (9.2%) cases and cystitis - in 10 (8.3%) cases. Among diseases of the gastrointestinal tract, gastritis was noted in 12 (10%) cases; cholecystitis in 6(5%) cases. Anemia, mainly of an iron deficiency nature, was detected in 23 (19.2%) cases, arterial hypertension in 16 (13.3%) cases, hypotension in 11 (9.2%) cases. Among the leading clinical symptoms in patients with HE were recorded: pain syndrome observed in 115 (95.8%) cases; menstrual dysfunction was observed in every 2 women, which in general amounted to 50 (41.6%) cases. Evaluation of the intensity of pain in patients with HE according to the VAS and MacLaverty scales S.M., Shaw R.W. made it possible to reveal their expression. So, mild pain, representing a mild degree (1-3 points) was registered in 54 (45%) patients; moderate pain (average degree 4-7 points) - in 56 (46.7%); unbearable pain (severe degree 8-10 points) - 10 (8.3%) women. On average, the intensity of pain on this scale was 7 cm. It should be emphasized that in ovarian endometriosis, the intensity of pain was higher on average by 1.5-1.7 cm compared to other forms of HE.</w:t>
      </w:r>
      <w:r>
        <w:rPr>
          <w:rFonts w:hint="default" w:ascii="Times New Roman" w:hAnsi="Times New Roman" w:cs="Times New Roman"/>
          <w:sz w:val="24"/>
          <w:szCs w:val="24"/>
        </w:rPr>
        <w:t xml:space="preserve"> </w:t>
      </w:r>
      <w:r>
        <w:rPr>
          <w:rFonts w:hint="default" w:ascii="Times New Roman" w:hAnsi="Times New Roman" w:cs="Times New Roman"/>
          <w:sz w:val="24"/>
          <w:szCs w:val="24"/>
          <w:lang w:val="en-US"/>
        </w:rPr>
        <w:t xml:space="preserve">Therefore, the intensity of the pain syndrome directly depends on the localization of the endometrioid process. Dyspareunia was observed in almost every 4th patient and was registered in 25 (20.8%) cases. Hyperpolymenorrhea was observed in 36 (30%) cases, chronic pelvic pain not associated with the menstrual cycle was observed in 20 (16.7%) cases. Pre- and postmenstrual spotting was noted in 14 (11.6%) cases. In the majority of patients with GE, which amounted to 82 (68.3%) cases, the uterus was of normal size during gynecological examination. Tumor-like formations in the area of ​​the appendages were detected in 34 (66.6%) cases; endometrioid cysts (unilateral) were detected in 21 (41.2%) cases, bilateral ones were noted in 13 (25.4%) cases, which was confirmed by ultrasound. According to the ultrasound data, structural changes in the endometrium and myometrium were revealed in patients with endometriosis, and heterogeneous echo-structural changes in the retrocervical tissue were visualized. Primary infertility was noted in 27 (22.5%) cases; secondary infertility was registered in 10 (8.3%) cases. </w:t>
      </w:r>
    </w:p>
    <w:p>
      <w:pPr>
        <w:spacing w:after="0"/>
        <w:ind w:firstLine="708"/>
        <w:jc w:val="both"/>
        <w:rPr>
          <w:rFonts w:hint="default" w:ascii="Times New Roman" w:hAnsi="Times New Roman" w:cs="Times New Roman"/>
          <w:sz w:val="24"/>
          <w:szCs w:val="24"/>
          <w:lang w:val="en-US"/>
        </w:rPr>
      </w:pPr>
      <w:bookmarkStart w:id="0" w:name="_GoBack"/>
      <w:r>
        <w:rPr>
          <w:rFonts w:hint="default" w:ascii="Times New Roman" w:hAnsi="Times New Roman" w:cs="Times New Roman"/>
          <w:b/>
          <w:bCs/>
          <w:sz w:val="24"/>
          <w:szCs w:val="24"/>
          <w:lang w:val="en-US"/>
        </w:rPr>
        <w:t>Conclusion:</w:t>
      </w:r>
      <w:bookmarkEnd w:id="0"/>
      <w:r>
        <w:rPr>
          <w:rFonts w:hint="default" w:ascii="Times New Roman" w:hAnsi="Times New Roman" w:cs="Times New Roman"/>
          <w:sz w:val="24"/>
          <w:szCs w:val="24"/>
          <w:lang w:val="en-US"/>
        </w:rPr>
        <w:t xml:space="preserve"> </w:t>
      </w:r>
      <w:r>
        <w:rPr>
          <w:rFonts w:hint="default" w:ascii="Times New Roman" w:hAnsi="Times New Roman" w:cs="Times New Roman"/>
          <w:sz w:val="24"/>
          <w:szCs w:val="24"/>
          <w:lang w:val="en-US"/>
        </w:rPr>
        <w:t xml:space="preserve">GE is </w:t>
      </w:r>
      <w:r>
        <w:rPr>
          <w:rFonts w:hint="default" w:ascii="Times New Roman" w:hAnsi="Times New Roman" w:cs="Times New Roman"/>
          <w:sz w:val="24"/>
          <w:szCs w:val="24"/>
          <w:lang w:val="en-US"/>
        </w:rPr>
        <w:t>not only a</w:t>
      </w:r>
      <w:r>
        <w:rPr>
          <w:rFonts w:hint="default" w:ascii="Times New Roman" w:hAnsi="Times New Roman" w:cs="Times New Roman"/>
          <w:sz w:val="24"/>
          <w:szCs w:val="24"/>
          <w:lang w:val="en-US"/>
        </w:rPr>
        <w:t xml:space="preserve"> disease leading to functional and structural changes in the reproductive system</w:t>
      </w:r>
      <w:r>
        <w:rPr>
          <w:rFonts w:hint="default" w:ascii="Times New Roman" w:hAnsi="Times New Roman" w:cs="Times New Roman"/>
          <w:sz w:val="24"/>
          <w:szCs w:val="24"/>
          <w:lang w:val="en-US"/>
        </w:rPr>
        <w:t xml:space="preserve">, it associates also with significant changes in endocrine and extragenital system. </w:t>
      </w:r>
    </w:p>
    <w:p/>
    <w:sectPr>
      <w:pgSz w:w="11906" w:h="16838"/>
      <w:pgMar w:top="1440" w:right="1800" w:bottom="1440" w:left="1800" w:header="720" w:footer="720" w:gutter="0"/>
      <w:cols w:space="720" w:num="1"/>
      <w:docGrid w:linePitch="360" w:charSpace="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endnote w:type="separator" w:id="0">
    <w:p>
      <w:pPr>
        <w:spacing w:line="240" w:lineRule="auto"/>
      </w:pPr>
      <w:r>
        <w:separator/>
      </w:r>
    </w:p>
  </w:endnote>
  <w:endnote w:type="continuationSeparator" w:id="1">
    <w:p>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A2"/>
    <w:family w:val="roman"/>
    <w:pitch w:val="default"/>
    <w:sig w:usb0="E0002EFF" w:usb1="C000785B" w:usb2="00000009" w:usb3="00000000" w:csb0="400001FF" w:csb1="FFFF0000"/>
  </w:font>
  <w:font w:name="宋体">
    <w:altName w:val="SimSun"/>
    <w:panose1 w:val="02010600030101010101"/>
    <w:charset w:val="86"/>
    <w:family w:val="auto"/>
    <w:pitch w:val="variable"/>
    <w:sig w:usb0="00000003" w:usb1="080E0000" w:usb2="00000010" w:usb3="00000000" w:csb0="00040001" w:csb1="00000000"/>
  </w:font>
  <w:font w:name="SimSun">
    <w:panose1 w:val="02010600030101010101"/>
    <w:charset w:val="86"/>
    <w:family w:val="auto"/>
    <w:pitch w:val="default"/>
    <w:sig w:usb0="00000203" w:usb1="288F0000" w:usb2="00000006" w:usb3="00000000" w:csb0="00040001" w:csb1="00000000"/>
  </w:font>
  <w:font w:name="Arial">
    <w:panose1 w:val="020B0604020202020204"/>
    <w:charset w:val="00"/>
    <w:family w:val="swiss"/>
    <w:pitch w:val="default"/>
    <w:sig w:usb0="E0002EFF" w:usb1="C000785B" w:usb2="00000009" w:usb3="00000000" w:csb0="400001FF" w:csb1="FFFF0000"/>
  </w:font>
  <w:font w:name="黑体">
    <w:altName w:val="SimSun"/>
    <w:panose1 w:val="02010600030101010101"/>
    <w:charset w:val="86"/>
    <w:family w:val="auto"/>
    <w:pitch w:val="default"/>
    <w:sig w:usb0="00000001" w:usb1="080E0000" w:usb2="00000010" w:usb3="00000000" w:csb0="00040000" w:csb1="00000000"/>
  </w:font>
  <w:font w:name="Courier New">
    <w:panose1 w:val="02070309020205020404"/>
    <w:charset w:val="00"/>
    <w:family w:val="modern"/>
    <w:pitch w:val="default"/>
    <w:sig w:usb0="E0002EFF" w:usb1="C0007843" w:usb2="00000009" w:usb3="00000000" w:csb0="400001FF" w:csb1="FFFF0000"/>
  </w:font>
  <w:font w:name="Wingdings">
    <w:panose1 w:val="05000000000000000000"/>
    <w:charset w:val="02"/>
    <w:family w:val="auto"/>
    <w:pitch w:val="default"/>
    <w:sig w:usb0="00000000" w:usb1="00000000" w:usb2="00000000" w:usb3="00000000" w:csb0="80000000" w:csb1="00000000"/>
  </w:font>
  <w:font w:name="Calibri">
    <w:panose1 w:val="020F0502020204030204"/>
    <w:charset w:val="00"/>
    <w:family w:val="swiss"/>
    <w:pitch w:val="default"/>
    <w:sig w:usb0="E4002EFF" w:usb1="C200247B" w:usb2="00000009" w:usb3="00000000" w:csb0="200001F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footnote w:type="separator" w:id="0">
    <w:p>
      <w:pPr>
        <w:spacing w:before="0" w:after="0" w:line="259" w:lineRule="auto"/>
      </w:pPr>
      <w:r>
        <w:separator/>
      </w:r>
    </w:p>
  </w:footnote>
  <w:footnote w:type="continuationSeparator" w:id="1">
    <w:p>
      <w:pPr>
        <w:spacing w:before="0" w:after="0" w:line="259" w:lineRule="auto"/>
      </w:pPr>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20"/>
  <w:doNotDisplayPageBoundaries w:val="1"/>
  <w:embedSystemFonts/>
  <w:bordersDoNotSurroundHeader w:val="0"/>
  <w:bordersDoNotSurroundFooter w:val="0"/>
  <w:documentProtection w:enforcement="0"/>
  <w:defaultTabStop w:val="720"/>
  <w:drawingGridVerticalSpacing w:val="156"/>
  <w:displayHorizontalDrawingGridEvery w:val="1"/>
  <w:displayVerticalDrawingGridEvery w:val="1"/>
  <w:noPunctuationKerning w:val="1"/>
  <w:characterSpacingControl w:val="doNotCompress"/>
  <w:footnotePr>
    <w:footnote w:id="0"/>
    <w:footnote w:id="1"/>
  </w:footnotePr>
  <w:endnotePr>
    <w:endnote w:id="0"/>
    <w:endnote w:id="1"/>
  </w:endnotePr>
  <w:compat>
    <w:spaceForUL/>
    <w:doNotLeaveBackslashAlone/>
    <w:ulTrailSpace/>
    <w:doNotExpandShiftReturn/>
    <w:adjustLineHeightInTable/>
    <w:doNotWrapTextWithPunct/>
    <w:doNotUseEastAsianBreakRules/>
    <w:doNotUseIndentAsNumberingTabStop/>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485B0A5F"/>
    <w:rsid w:val="31351722"/>
    <w:rsid w:val="485B0A5F"/>
    <w:rsid w:val="6D21761D"/>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SimSun"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unhideWhenUsed="0" w:uiPriority="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spacing w:after="160" w:line="259" w:lineRule="auto"/>
    </w:pPr>
    <w:rPr>
      <w:rFonts w:asciiTheme="minorHAnsi" w:hAnsiTheme="minorHAnsi" w:eastAsiaTheme="minorHAnsi" w:cstheme="minorBidi"/>
      <w:sz w:val="22"/>
      <w:szCs w:val="22"/>
      <w:lang w:val="az-Latn-AZ" w:eastAsia="en-US" w:bidi="ar-SA"/>
    </w:rPr>
  </w:style>
  <w:style w:type="character" w:default="1" w:styleId="2">
    <w:name w:val="Default Paragraph Font"/>
    <w:semiHidden/>
    <w:uiPriority w:val="0"/>
  </w:style>
  <w:style w:type="table" w:default="1" w:styleId="3">
    <w:name w:val="Normal Table"/>
    <w:semiHidden/>
    <w:uiPriority w:val="0"/>
    <w:tblPr>
      <w:tblCellMar>
        <w:top w:w="0" w:type="dxa"/>
        <w:left w:w="108" w:type="dxa"/>
        <w:bottom w:w="0" w:type="dxa"/>
        <w:right w:w="108" w:type="dxa"/>
      </w:tblCellMar>
    </w:tblPr>
  </w:style>
</w:styles>
</file>

<file path=word/_rels/document.xml.rels><?xml version="1.0" encoding="UTF-8" standalone="yes"?>
<Relationships xmlns="http://schemas.openxmlformats.org/package/2006/relationships"><Relationship Id="rId6" Type="http://schemas.openxmlformats.org/officeDocument/2006/relationships/fontTable" Target="fontTable.xml"/><Relationship Id="rId5" Type="http://schemas.openxmlformats.org/officeDocument/2006/relationships/theme" Target="theme/theme1.xml"/><Relationship Id="rId4" Type="http://schemas.openxmlformats.org/officeDocument/2006/relationships/endnotes" Target="endnotes.xml"/><Relationship Id="rId3" Type="http://schemas.openxmlformats.org/officeDocument/2006/relationships/footnotes" Target="footnotes.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Pages>1</Pages>
  <Words>0</Words>
  <Characters>0</Characters>
  <Lines>0</Lines>
  <Paragraphs>0</Paragraphs>
  <TotalTime>24</TotalTime>
  <ScaleCrop>false</ScaleCrop>
  <LinksUpToDate>false</LinksUpToDate>
  <CharactersWithSpaces>0</CharactersWithSpaces>
  <Application>WPS Office_11.2.0.11219_F1E327BC-269C-435d-A152-05C5408002CA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2023-03-23T06:35:00Z</dcterms:created>
  <dc:creator>sadi_</dc:creator>
  <cp:lastModifiedBy>sadi_</cp:lastModifiedBy>
  <dcterms:modified xsi:type="dcterms:W3CDTF">2023-03-27T20:53:37Z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1033-11.2.0.11219</vt:lpwstr>
  </property>
  <property fmtid="{D5CDD505-2E9C-101B-9397-08002B2CF9AE}" pid="3" name="ICV">
    <vt:lpwstr>4DE3BC08304D4F5FA00ECA095CFC7096</vt:lpwstr>
  </property>
</Properties>
</file>