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70651" w14:textId="77777777" w:rsidR="00105E84" w:rsidRDefault="00105E84" w:rsidP="00105E84">
      <w:pPr>
        <w:spacing w:line="240" w:lineRule="auto"/>
        <w:rPr>
          <w:rFonts w:ascii="Arial" w:hAnsi="Arial" w:cs="Arial"/>
          <w:sz w:val="24"/>
          <w:szCs w:val="24"/>
        </w:rPr>
      </w:pPr>
      <w:r w:rsidRPr="00944067">
        <w:rPr>
          <w:rFonts w:ascii="Arial" w:hAnsi="Arial" w:cs="Arial"/>
          <w:sz w:val="24"/>
          <w:szCs w:val="24"/>
        </w:rPr>
        <w:t xml:space="preserve">CASE REPORT in Oman: Successful </w:t>
      </w:r>
      <w:r>
        <w:rPr>
          <w:rFonts w:ascii="Arial" w:hAnsi="Arial" w:cs="Arial"/>
          <w:sz w:val="24"/>
          <w:szCs w:val="24"/>
        </w:rPr>
        <w:t>P</w:t>
      </w:r>
      <w:r w:rsidRPr="00944067">
        <w:rPr>
          <w:rFonts w:ascii="Arial" w:hAnsi="Arial" w:cs="Arial"/>
          <w:sz w:val="24"/>
          <w:szCs w:val="24"/>
        </w:rPr>
        <w:t xml:space="preserve">regnancy after </w:t>
      </w:r>
      <w:r>
        <w:rPr>
          <w:rFonts w:ascii="Arial" w:hAnsi="Arial" w:cs="Arial"/>
          <w:sz w:val="24"/>
          <w:szCs w:val="24"/>
        </w:rPr>
        <w:t>C</w:t>
      </w:r>
      <w:r w:rsidRPr="00944067">
        <w:rPr>
          <w:rFonts w:ascii="Arial" w:hAnsi="Arial" w:cs="Arial"/>
          <w:sz w:val="24"/>
          <w:szCs w:val="24"/>
        </w:rPr>
        <w:t>ombine</w:t>
      </w:r>
      <w:r>
        <w:rPr>
          <w:rFonts w:ascii="Arial" w:hAnsi="Arial" w:cs="Arial"/>
          <w:sz w:val="24"/>
          <w:szCs w:val="24"/>
        </w:rPr>
        <w:t>d</w:t>
      </w:r>
      <w:r w:rsidRPr="00944067">
        <w:rPr>
          <w:rFonts w:ascii="Arial" w:hAnsi="Arial" w:cs="Arial"/>
          <w:sz w:val="24"/>
          <w:szCs w:val="24"/>
        </w:rPr>
        <w:t xml:space="preserve"> B lynch and Bakri Balloon</w:t>
      </w:r>
    </w:p>
    <w:p w14:paraId="6379FE9B" w14:textId="77777777" w:rsidR="00105E84" w:rsidRPr="00944067" w:rsidRDefault="00105E84" w:rsidP="00105E84">
      <w:pPr>
        <w:spacing w:line="240" w:lineRule="auto"/>
        <w:rPr>
          <w:rFonts w:ascii="Arial" w:hAnsi="Arial" w:cs="Arial"/>
          <w:sz w:val="24"/>
          <w:szCs w:val="24"/>
        </w:rPr>
      </w:pPr>
      <w:r>
        <w:rPr>
          <w:rFonts w:ascii="Arial" w:hAnsi="Arial" w:cs="Arial"/>
          <w:sz w:val="24"/>
          <w:szCs w:val="24"/>
        </w:rPr>
        <w:t>Zaplan, R., Al-Fana, A., Desierto, M.</w:t>
      </w:r>
    </w:p>
    <w:p w14:paraId="5A296E74" w14:textId="77777777" w:rsidR="00105E84" w:rsidRPr="007802B1" w:rsidRDefault="00105E84" w:rsidP="00105E84">
      <w:pPr>
        <w:pStyle w:val="ListParagraph"/>
        <w:numPr>
          <w:ilvl w:val="0"/>
          <w:numId w:val="3"/>
        </w:numPr>
        <w:spacing w:line="240" w:lineRule="auto"/>
        <w:rPr>
          <w:rFonts w:ascii="Arial" w:hAnsi="Arial" w:cs="Arial"/>
          <w:sz w:val="24"/>
          <w:szCs w:val="24"/>
        </w:rPr>
      </w:pPr>
      <w:r w:rsidRPr="007802B1">
        <w:rPr>
          <w:rFonts w:ascii="Arial" w:hAnsi="Arial" w:cs="Arial"/>
          <w:sz w:val="24"/>
          <w:szCs w:val="24"/>
        </w:rPr>
        <w:t>Abstract</w:t>
      </w:r>
    </w:p>
    <w:p w14:paraId="027F326F" w14:textId="77777777" w:rsidR="00105E84" w:rsidRDefault="00105E84" w:rsidP="00105E84">
      <w:pPr>
        <w:spacing w:line="240" w:lineRule="auto"/>
        <w:ind w:left="720"/>
        <w:jc w:val="both"/>
        <w:rPr>
          <w:rFonts w:ascii="Arial" w:hAnsi="Arial" w:cs="Arial"/>
          <w:sz w:val="24"/>
          <w:szCs w:val="24"/>
        </w:rPr>
      </w:pPr>
      <w:r>
        <w:rPr>
          <w:rFonts w:ascii="Arial" w:hAnsi="Arial" w:cs="Arial"/>
          <w:sz w:val="24"/>
          <w:szCs w:val="24"/>
        </w:rPr>
        <w:t>The combined use of B-lynch suture and Bakri balloons known as “uterine sandwich” has not been extensively reported in literature. Although there are case reports that described its successful use for intractable postpartum haemorrhage and effective future fertility preservation with some reported cases of endomyometritis.</w:t>
      </w:r>
      <w:r>
        <w:rPr>
          <w:rFonts w:ascii="Arial" w:hAnsi="Arial" w:cs="Arial"/>
          <w:sz w:val="24"/>
          <w:szCs w:val="24"/>
          <w:vertAlign w:val="superscript"/>
        </w:rPr>
        <w:t>7</w:t>
      </w:r>
      <w:r>
        <w:rPr>
          <w:rFonts w:ascii="Arial" w:hAnsi="Arial" w:cs="Arial"/>
          <w:sz w:val="24"/>
          <w:szCs w:val="24"/>
        </w:rPr>
        <w:t xml:space="preserve"> Its limited case report of pregnancy inspired to share about the outcome of this successful pregnancy after catastrophic PPH complication from previous caesarean section managed with “uterine sandwich” technique. This also impart solution to manage pyometra or endomyometritis as part of the complication in this procedure. A 39-year-old woman, gravida 6, para 4, abortus 1, at 32-week gestation was admitted from emergency with vaginal bleeding and labour pain. She has previous two low segments caesarean section (LSCS) where the last LSCS was complicated with massive PPH controlled with B-lynch suture and Bakri balloon. She received 4 PRBC and admitted in ICU with abdominal drain. This complicated with pyometra and abdominal collections. She underwent suction curettage and insertion of pigtail for intrauterine drainage. Patient responded well with proper antibiotics, anticoagulation, and multidisciplinary co-management with the surgeon, microbiologist and internist. She recovered and discharged in her day 21 post-operative and advised completion of antibiotics for 7 days more. After 3 years of this LSCS, she got pregnant and had her booking visit in Armed Forces Hospital (AFH) at 23 weeks gestation. She was booked for elective repeat LSCS at 36-37 weeks gestation. When she presented in emergency, she was taken for emergency LSCS and delivered to a live baby boy with weight 1905 grams and apgar score of 6,8. Intraoperative findings showed abdominal wall adhesions up to the peritoneum obliterating the lower anterior wall and bladder cannot fully visualized. Uterine contour was still intact with minimal filmy to band adhesions to omentum and upper anterior abdominal wall and patient went home after 4 days.</w:t>
      </w:r>
    </w:p>
    <w:p w14:paraId="64BE7B14" w14:textId="77777777" w:rsidR="00105E84" w:rsidRDefault="00105E84" w:rsidP="00105E84">
      <w:pPr>
        <w:pStyle w:val="NormalWeb"/>
        <w:numPr>
          <w:ilvl w:val="0"/>
          <w:numId w:val="3"/>
        </w:numPr>
        <w:spacing w:before="0" w:beforeAutospacing="0" w:after="0" w:afterAutospacing="0"/>
        <w:jc w:val="both"/>
        <w:rPr>
          <w:rFonts w:ascii="Arial" w:hAnsi="Arial" w:cs="Arial"/>
          <w:color w:val="000000"/>
        </w:rPr>
      </w:pPr>
    </w:p>
    <w:p w14:paraId="7A84954B" w14:textId="77777777" w:rsidR="00105E84" w:rsidRDefault="00105E84" w:rsidP="00105E84">
      <w:pPr>
        <w:pStyle w:val="NormalWeb"/>
        <w:spacing w:before="0" w:beforeAutospacing="0" w:after="0" w:afterAutospacing="0"/>
        <w:jc w:val="both"/>
        <w:rPr>
          <w:rFonts w:ascii="Arial" w:hAnsi="Arial" w:cs="Arial"/>
          <w:color w:val="000000"/>
        </w:rPr>
      </w:pPr>
    </w:p>
    <w:p w14:paraId="4B6045B9" w14:textId="77777777" w:rsidR="00105E84" w:rsidRDefault="00105E84" w:rsidP="00105E84">
      <w:pPr>
        <w:pStyle w:val="NormalWeb"/>
        <w:spacing w:before="0" w:beforeAutospacing="0" w:after="0" w:afterAutospacing="0"/>
        <w:jc w:val="both"/>
        <w:rPr>
          <w:rFonts w:ascii="Arial" w:hAnsi="Arial" w:cs="Arial"/>
          <w:color w:val="000000"/>
        </w:rPr>
      </w:pPr>
      <w:r>
        <w:rPr>
          <w:rFonts w:ascii="Arial" w:hAnsi="Arial" w:cs="Arial"/>
          <w:color w:val="000000"/>
        </w:rPr>
        <w:t xml:space="preserve">Figure 1. </w:t>
      </w:r>
    </w:p>
    <w:p w14:paraId="475F9E34" w14:textId="77777777" w:rsidR="00105E84" w:rsidRDefault="00105E84" w:rsidP="00105E84">
      <w:pPr>
        <w:spacing w:line="240" w:lineRule="auto"/>
        <w:rPr>
          <w:rFonts w:ascii="Arial" w:hAnsi="Arial" w:cs="Arial"/>
          <w:sz w:val="24"/>
          <w:szCs w:val="24"/>
        </w:rPr>
      </w:pPr>
    </w:p>
    <w:p w14:paraId="3A44FC1F" w14:textId="77777777" w:rsidR="00105E84" w:rsidRDefault="00105E84" w:rsidP="00105E84">
      <w:pPr>
        <w:pStyle w:val="NormalWeb"/>
        <w:spacing w:before="0" w:beforeAutospacing="0" w:after="0" w:afterAutospacing="0"/>
        <w:jc w:val="both"/>
        <w:rPr>
          <w:rFonts w:ascii="Arial" w:hAnsi="Arial" w:cs="Arial"/>
          <w:color w:val="000000"/>
        </w:rPr>
      </w:pPr>
      <w:r>
        <w:rPr>
          <w:rFonts w:ascii="Arial" w:hAnsi="Arial" w:cs="Arial"/>
          <w:color w:val="000000"/>
        </w:rPr>
        <w:t>Abdominopelvic CT showed uterus bulky with large fluid collection within the endometrial cavity 85 mm x 65 mm x 95 mm with stippled air densities within. Multiple lower abdominal intraperitoneal and abdominal wall collections with air pockets within. Enlarged endometrial cavity with significant amount of fluid and air pockets with. Endometritis was highly suspicious caused by gas producing organism.</w:t>
      </w:r>
    </w:p>
    <w:p w14:paraId="0388F2D4" w14:textId="77777777" w:rsidR="00105E84" w:rsidRDefault="00105E84" w:rsidP="00105E84">
      <w:pPr>
        <w:pStyle w:val="NormalWeb"/>
        <w:spacing w:before="0" w:beforeAutospacing="0" w:after="0" w:afterAutospacing="0"/>
        <w:jc w:val="both"/>
        <w:rPr>
          <w:rFonts w:ascii="Arial" w:hAnsi="Arial" w:cs="Arial"/>
          <w:color w:val="000000"/>
        </w:rPr>
      </w:pPr>
    </w:p>
    <w:p w14:paraId="37D86005" w14:textId="77777777" w:rsidR="00105E84" w:rsidRDefault="00105E84" w:rsidP="00105E84">
      <w:pPr>
        <w:pStyle w:val="NormalWeb"/>
        <w:spacing w:before="0" w:beforeAutospacing="0" w:after="0" w:afterAutospacing="0"/>
        <w:jc w:val="both"/>
        <w:rPr>
          <w:rFonts w:ascii="Arial" w:hAnsi="Arial" w:cs="Arial"/>
          <w:color w:val="000000"/>
        </w:rPr>
      </w:pPr>
    </w:p>
    <w:p w14:paraId="02E871B8" w14:textId="77777777" w:rsidR="00105E84" w:rsidRDefault="00105E84" w:rsidP="00105E84">
      <w:pPr>
        <w:pStyle w:val="NormalWeb"/>
        <w:spacing w:before="0" w:beforeAutospacing="0" w:after="0" w:afterAutospacing="0"/>
        <w:jc w:val="both"/>
        <w:rPr>
          <w:rFonts w:ascii="Arial" w:hAnsi="Arial" w:cs="Arial"/>
          <w:color w:val="000000"/>
        </w:rPr>
      </w:pPr>
      <w:r>
        <w:rPr>
          <w:rFonts w:ascii="Arial" w:hAnsi="Arial" w:cs="Arial"/>
          <w:noProof/>
          <w:color w:val="000000"/>
        </w:rPr>
        <w:drawing>
          <wp:inline distT="0" distB="0" distL="0" distR="0" wp14:anchorId="5FB11AB1" wp14:editId="2859D690">
            <wp:extent cx="1804035" cy="2258060"/>
            <wp:effectExtent l="0" t="0" r="571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4035" cy="2258060"/>
                    </a:xfrm>
                    <a:prstGeom prst="rect">
                      <a:avLst/>
                    </a:prstGeom>
                    <a:noFill/>
                    <a:ln>
                      <a:noFill/>
                    </a:ln>
                  </pic:spPr>
                </pic:pic>
              </a:graphicData>
            </a:graphic>
          </wp:inline>
        </w:drawing>
      </w:r>
      <w:r>
        <w:rPr>
          <w:rFonts w:ascii="Arial" w:hAnsi="Arial" w:cs="Arial"/>
          <w:noProof/>
          <w:color w:val="000000"/>
        </w:rPr>
        <w:t xml:space="preserve">               </w:t>
      </w:r>
      <w:r>
        <w:rPr>
          <w:rFonts w:ascii="Arial" w:hAnsi="Arial" w:cs="Arial"/>
          <w:noProof/>
          <w:color w:val="000000"/>
        </w:rPr>
        <w:drawing>
          <wp:inline distT="0" distB="0" distL="0" distR="0" wp14:anchorId="1989191F" wp14:editId="3B9586B0">
            <wp:extent cx="1772920" cy="22644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2920" cy="2264410"/>
                    </a:xfrm>
                    <a:prstGeom prst="rect">
                      <a:avLst/>
                    </a:prstGeom>
                    <a:noFill/>
                    <a:ln>
                      <a:noFill/>
                    </a:ln>
                  </pic:spPr>
                </pic:pic>
              </a:graphicData>
            </a:graphic>
          </wp:inline>
        </w:drawing>
      </w:r>
      <w:r>
        <w:rPr>
          <w:rFonts w:ascii="Arial" w:hAnsi="Arial" w:cs="Arial"/>
          <w:noProof/>
          <w:color w:val="000000"/>
        </w:rPr>
        <w:t xml:space="preserve">                     </w:t>
      </w:r>
      <w:r>
        <w:rPr>
          <w:rFonts w:ascii="Arial" w:hAnsi="Arial" w:cs="Arial"/>
          <w:noProof/>
          <w:color w:val="000000"/>
        </w:rPr>
        <w:drawing>
          <wp:inline distT="0" distB="0" distL="0" distR="0" wp14:anchorId="725CF244" wp14:editId="72C6FCDB">
            <wp:extent cx="1735455" cy="22396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5455" cy="2239645"/>
                    </a:xfrm>
                    <a:prstGeom prst="rect">
                      <a:avLst/>
                    </a:prstGeom>
                    <a:noFill/>
                    <a:ln>
                      <a:noFill/>
                    </a:ln>
                  </pic:spPr>
                </pic:pic>
              </a:graphicData>
            </a:graphic>
          </wp:inline>
        </w:drawing>
      </w:r>
      <w:r>
        <w:rPr>
          <w:rFonts w:ascii="Arial" w:hAnsi="Arial" w:cs="Arial"/>
          <w:noProof/>
          <w:color w:val="000000"/>
        </w:rPr>
        <w:t xml:space="preserve">         </w:t>
      </w:r>
    </w:p>
    <w:p w14:paraId="2A5F416A" w14:textId="77777777" w:rsidR="00105E84" w:rsidRDefault="00105E84" w:rsidP="00105E84">
      <w:pPr>
        <w:pStyle w:val="NormalWeb"/>
        <w:spacing w:before="0" w:beforeAutospacing="0" w:after="0" w:afterAutospacing="0"/>
        <w:jc w:val="both"/>
        <w:rPr>
          <w:rFonts w:ascii="Arial" w:hAnsi="Arial" w:cs="Arial"/>
          <w:color w:val="000000"/>
        </w:rPr>
      </w:pPr>
    </w:p>
    <w:p w14:paraId="235D4160" w14:textId="77777777" w:rsidR="00105E84" w:rsidRDefault="00105E84" w:rsidP="00105E84">
      <w:pPr>
        <w:pStyle w:val="NormalWeb"/>
        <w:spacing w:before="0" w:beforeAutospacing="0" w:after="0" w:afterAutospacing="0"/>
        <w:jc w:val="both"/>
        <w:rPr>
          <w:rFonts w:ascii="Arial" w:hAnsi="Arial" w:cs="Arial"/>
          <w:color w:val="000000"/>
        </w:rPr>
      </w:pPr>
    </w:p>
    <w:p w14:paraId="4BA1BD64" w14:textId="77777777" w:rsidR="00105E84" w:rsidRDefault="00105E84" w:rsidP="00105E84">
      <w:pPr>
        <w:pStyle w:val="NormalWeb"/>
        <w:spacing w:before="0" w:beforeAutospacing="0" w:after="0" w:afterAutospacing="0"/>
        <w:jc w:val="both"/>
        <w:rPr>
          <w:rFonts w:ascii="Arial" w:hAnsi="Arial" w:cs="Arial"/>
          <w:color w:val="000000"/>
        </w:rPr>
      </w:pPr>
    </w:p>
    <w:p w14:paraId="16EB840A" w14:textId="77777777" w:rsidR="00105E84" w:rsidRDefault="00105E84" w:rsidP="00105E84">
      <w:pPr>
        <w:pStyle w:val="NormalWeb"/>
        <w:spacing w:before="0" w:beforeAutospacing="0" w:after="0" w:afterAutospacing="0"/>
        <w:jc w:val="both"/>
        <w:rPr>
          <w:rFonts w:ascii="Arial" w:hAnsi="Arial" w:cs="Arial"/>
          <w:color w:val="000000"/>
        </w:rPr>
      </w:pPr>
      <w:r>
        <w:rPr>
          <w:rFonts w:ascii="Arial" w:hAnsi="Arial" w:cs="Arial"/>
          <w:color w:val="000000"/>
        </w:rPr>
        <w:t>Figure 2</w:t>
      </w:r>
    </w:p>
    <w:p w14:paraId="64353DE3" w14:textId="77777777" w:rsidR="00105E84" w:rsidRDefault="00105E84" w:rsidP="00105E84">
      <w:pPr>
        <w:pStyle w:val="NormalWeb"/>
        <w:spacing w:before="0" w:beforeAutospacing="0" w:after="0" w:afterAutospacing="0"/>
        <w:jc w:val="both"/>
        <w:rPr>
          <w:rFonts w:ascii="Arial" w:hAnsi="Arial" w:cs="Arial"/>
          <w:color w:val="000000"/>
        </w:rPr>
      </w:pPr>
      <w:r>
        <w:rPr>
          <w:rFonts w:ascii="Arial" w:hAnsi="Arial" w:cs="Arial"/>
          <w:color w:val="000000"/>
        </w:rPr>
        <w:t>Repeated abdominal CT scan done on day 17 post-operative day which showed uterus bulky with large fluid within the endometrial cavity with multiple air density within it.</w:t>
      </w:r>
    </w:p>
    <w:p w14:paraId="69940787" w14:textId="77777777" w:rsidR="00105E84" w:rsidRDefault="00105E84" w:rsidP="00105E84">
      <w:pPr>
        <w:pStyle w:val="NormalWeb"/>
        <w:spacing w:before="0" w:beforeAutospacing="0" w:after="0" w:afterAutospacing="0"/>
        <w:jc w:val="both"/>
        <w:rPr>
          <w:rFonts w:ascii="Arial" w:hAnsi="Arial" w:cs="Arial"/>
          <w:color w:val="000000"/>
        </w:rPr>
      </w:pPr>
    </w:p>
    <w:p w14:paraId="6EF1AC9E" w14:textId="77777777" w:rsidR="00105E84" w:rsidRPr="00643305" w:rsidRDefault="00105E84" w:rsidP="00105E84">
      <w:pPr>
        <w:pStyle w:val="NormalWeb"/>
        <w:spacing w:before="0" w:beforeAutospacing="0" w:after="0" w:afterAutospacing="0"/>
        <w:jc w:val="both"/>
        <w:rPr>
          <w:rFonts w:ascii="Arial" w:hAnsi="Arial" w:cs="Arial"/>
          <w:color w:val="000000"/>
        </w:rPr>
      </w:pPr>
      <w:r>
        <w:rPr>
          <w:rFonts w:ascii="Arial" w:hAnsi="Arial" w:cs="Arial"/>
          <w:noProof/>
          <w:color w:val="000000"/>
        </w:rPr>
        <w:drawing>
          <wp:inline distT="0" distB="0" distL="0" distR="0" wp14:anchorId="56DF5BF6" wp14:editId="51D7D6B1">
            <wp:extent cx="1915886" cy="249999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7096" cy="2501574"/>
                    </a:xfrm>
                    <a:prstGeom prst="rect">
                      <a:avLst/>
                    </a:prstGeom>
                    <a:noFill/>
                    <a:ln>
                      <a:noFill/>
                    </a:ln>
                  </pic:spPr>
                </pic:pic>
              </a:graphicData>
            </a:graphic>
          </wp:inline>
        </w:drawing>
      </w:r>
      <w:r>
        <w:rPr>
          <w:rFonts w:ascii="Arial" w:hAnsi="Arial" w:cs="Arial"/>
          <w:color w:val="000000"/>
        </w:rPr>
        <w:t xml:space="preserve">       </w:t>
      </w:r>
      <w:r>
        <w:rPr>
          <w:rFonts w:ascii="Arial" w:hAnsi="Arial" w:cs="Arial"/>
          <w:noProof/>
          <w:color w:val="000000"/>
        </w:rPr>
        <w:drawing>
          <wp:inline distT="0" distB="0" distL="0" distR="0" wp14:anchorId="60541479" wp14:editId="14A24D70">
            <wp:extent cx="1934547" cy="2518709"/>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7589" cy="2522669"/>
                    </a:xfrm>
                    <a:prstGeom prst="rect">
                      <a:avLst/>
                    </a:prstGeom>
                    <a:noFill/>
                    <a:ln>
                      <a:noFill/>
                    </a:ln>
                  </pic:spPr>
                </pic:pic>
              </a:graphicData>
            </a:graphic>
          </wp:inline>
        </w:drawing>
      </w:r>
      <w:r>
        <w:rPr>
          <w:rFonts w:ascii="Arial" w:hAnsi="Arial" w:cs="Arial"/>
          <w:color w:val="000000"/>
        </w:rPr>
        <w:t xml:space="preserve">        </w:t>
      </w:r>
      <w:r>
        <w:rPr>
          <w:rFonts w:ascii="Arial" w:hAnsi="Arial" w:cs="Arial"/>
          <w:noProof/>
          <w:color w:val="000000"/>
        </w:rPr>
        <w:drawing>
          <wp:inline distT="0" distB="0" distL="0" distR="0" wp14:anchorId="31816F3F" wp14:editId="4D958825">
            <wp:extent cx="2040255" cy="24818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3156" cy="2485367"/>
                    </a:xfrm>
                    <a:prstGeom prst="rect">
                      <a:avLst/>
                    </a:prstGeom>
                    <a:noFill/>
                    <a:ln>
                      <a:noFill/>
                    </a:ln>
                  </pic:spPr>
                </pic:pic>
              </a:graphicData>
            </a:graphic>
          </wp:inline>
        </w:drawing>
      </w:r>
    </w:p>
    <w:p w14:paraId="48781CCA" w14:textId="77777777" w:rsidR="00105E84" w:rsidRDefault="00105E84" w:rsidP="00105E84">
      <w:pPr>
        <w:jc w:val="both"/>
        <w:rPr>
          <w:sz w:val="24"/>
          <w:szCs w:val="24"/>
        </w:rPr>
      </w:pPr>
    </w:p>
    <w:p w14:paraId="42F540BB" w14:textId="77777777" w:rsidR="00105E84" w:rsidRDefault="00105E84" w:rsidP="00105E84">
      <w:pPr>
        <w:pStyle w:val="ListParagraph"/>
        <w:numPr>
          <w:ilvl w:val="0"/>
          <w:numId w:val="3"/>
        </w:numPr>
        <w:jc w:val="both"/>
        <w:rPr>
          <w:sz w:val="24"/>
          <w:szCs w:val="24"/>
        </w:rPr>
      </w:pPr>
      <w:r>
        <w:rPr>
          <w:sz w:val="24"/>
          <w:szCs w:val="24"/>
        </w:rPr>
        <w:t>References:</w:t>
      </w:r>
    </w:p>
    <w:p w14:paraId="55C12D7C" w14:textId="77777777" w:rsidR="00105E84" w:rsidRPr="00643305" w:rsidRDefault="00105E84" w:rsidP="00105E84">
      <w:pPr>
        <w:pStyle w:val="ListParagraph"/>
        <w:ind w:left="1080"/>
        <w:jc w:val="both"/>
        <w:rPr>
          <w:sz w:val="24"/>
          <w:szCs w:val="24"/>
        </w:rPr>
      </w:pPr>
    </w:p>
    <w:p w14:paraId="6EFAC8EF" w14:textId="77777777" w:rsidR="00105E84" w:rsidRPr="00643305" w:rsidRDefault="00105E84" w:rsidP="00105E84">
      <w:pPr>
        <w:pStyle w:val="ListParagraph"/>
        <w:numPr>
          <w:ilvl w:val="0"/>
          <w:numId w:val="2"/>
        </w:numPr>
        <w:spacing w:after="0" w:line="240" w:lineRule="auto"/>
        <w:jc w:val="both"/>
        <w:rPr>
          <w:rStyle w:val="reflinks"/>
        </w:rPr>
      </w:pPr>
      <w:r>
        <w:rPr>
          <w:rFonts w:ascii="Arial" w:hAnsi="Arial" w:cs="Arial"/>
          <w:sz w:val="24"/>
          <w:szCs w:val="24"/>
        </w:rPr>
        <w:t xml:space="preserve">H. A. Mousa and Z. </w:t>
      </w:r>
      <w:proofErr w:type="spellStart"/>
      <w:r>
        <w:rPr>
          <w:rFonts w:ascii="Arial" w:hAnsi="Arial" w:cs="Arial"/>
          <w:sz w:val="24"/>
          <w:szCs w:val="24"/>
        </w:rPr>
        <w:t>Alfirevic</w:t>
      </w:r>
      <w:proofErr w:type="spellEnd"/>
      <w:r>
        <w:rPr>
          <w:rFonts w:ascii="Arial" w:hAnsi="Arial" w:cs="Arial"/>
          <w:sz w:val="24"/>
          <w:szCs w:val="24"/>
        </w:rPr>
        <w:t>, “Treatment for primary postpartum haemorrhage,” Cochrane Database of Systematic Reviews, no. 1, Article ID CD003249, 2003.</w:t>
      </w:r>
    </w:p>
    <w:p w14:paraId="25FB5F54" w14:textId="77777777" w:rsidR="00105E84" w:rsidRDefault="00105E84" w:rsidP="00105E84">
      <w:pPr>
        <w:pStyle w:val="ListParagraph"/>
        <w:numPr>
          <w:ilvl w:val="0"/>
          <w:numId w:val="2"/>
        </w:numPr>
        <w:spacing w:after="0" w:line="240" w:lineRule="auto"/>
        <w:jc w:val="both"/>
        <w:rPr>
          <w:rStyle w:val="reflinks"/>
          <w:rFonts w:ascii="Arial" w:hAnsi="Arial" w:cs="Arial"/>
          <w:sz w:val="24"/>
          <w:szCs w:val="24"/>
        </w:rPr>
      </w:pPr>
      <w:r>
        <w:rPr>
          <w:rFonts w:ascii="Arial" w:hAnsi="Arial" w:cs="Arial"/>
          <w:sz w:val="24"/>
          <w:szCs w:val="24"/>
        </w:rPr>
        <w:t xml:space="preserve">World Health </w:t>
      </w:r>
      <w:proofErr w:type="spellStart"/>
      <w:r>
        <w:rPr>
          <w:rFonts w:ascii="Arial" w:hAnsi="Arial" w:cs="Arial"/>
          <w:sz w:val="24"/>
          <w:szCs w:val="24"/>
        </w:rPr>
        <w:t>Organisation</w:t>
      </w:r>
      <w:proofErr w:type="spellEnd"/>
      <w:r>
        <w:rPr>
          <w:rFonts w:ascii="Arial" w:hAnsi="Arial" w:cs="Arial"/>
          <w:sz w:val="24"/>
          <w:szCs w:val="24"/>
        </w:rPr>
        <w:t>, The Prevention and Management of Postpartum Hemorrhage. Report of a Technical Working Group, WHO, Geneva, Switzerland, 1990.</w:t>
      </w:r>
      <w:r>
        <w:rPr>
          <w:rStyle w:val="reflinks"/>
          <w:rFonts w:ascii="Arial" w:hAnsi="Arial" w:cs="Arial"/>
          <w:sz w:val="24"/>
          <w:szCs w:val="24"/>
          <w:bdr w:val="none" w:sz="0" w:space="0" w:color="auto" w:frame="1"/>
        </w:rPr>
        <w:t xml:space="preserve"> </w:t>
      </w:r>
    </w:p>
    <w:p w14:paraId="3784DF93" w14:textId="77777777" w:rsidR="00105E84" w:rsidRDefault="00105E84" w:rsidP="00105E84">
      <w:pPr>
        <w:pStyle w:val="ListParagraph"/>
        <w:numPr>
          <w:ilvl w:val="0"/>
          <w:numId w:val="2"/>
        </w:numPr>
        <w:spacing w:after="0" w:line="240" w:lineRule="auto"/>
        <w:jc w:val="both"/>
        <w:rPr>
          <w:rStyle w:val="reflinks"/>
          <w:rFonts w:ascii="Arial" w:hAnsi="Arial" w:cs="Arial"/>
          <w:sz w:val="24"/>
          <w:szCs w:val="24"/>
        </w:rPr>
      </w:pPr>
      <w:r>
        <w:rPr>
          <w:rFonts w:ascii="Arial" w:hAnsi="Arial" w:cs="Arial"/>
          <w:sz w:val="24"/>
          <w:szCs w:val="24"/>
        </w:rPr>
        <w:t xml:space="preserve">D. </w:t>
      </w:r>
      <w:proofErr w:type="spellStart"/>
      <w:r>
        <w:rPr>
          <w:rFonts w:ascii="Arial" w:hAnsi="Arial" w:cs="Arial"/>
          <w:sz w:val="24"/>
          <w:szCs w:val="24"/>
        </w:rPr>
        <w:t>Danso</w:t>
      </w:r>
      <w:proofErr w:type="spellEnd"/>
      <w:r>
        <w:rPr>
          <w:rFonts w:ascii="Arial" w:hAnsi="Arial" w:cs="Arial"/>
          <w:sz w:val="24"/>
          <w:szCs w:val="24"/>
        </w:rPr>
        <w:t xml:space="preserve"> and P. Reginald, “Combined B-lynch suture with intrauterine balloon catheter triumphs over massive postpartum haemorrhage,” International Journal of Obstetrics and Gynaecology, vol. 109, no. 8, p. 963, 2002.</w:t>
      </w:r>
    </w:p>
    <w:p w14:paraId="7F81DDDE" w14:textId="77777777" w:rsidR="00105E84" w:rsidRDefault="00105E84" w:rsidP="00105E84">
      <w:pPr>
        <w:pStyle w:val="ListParagraph"/>
        <w:numPr>
          <w:ilvl w:val="0"/>
          <w:numId w:val="2"/>
        </w:numPr>
        <w:spacing w:after="0" w:line="240" w:lineRule="auto"/>
        <w:jc w:val="both"/>
      </w:pPr>
      <w:r>
        <w:rPr>
          <w:rFonts w:ascii="Arial" w:hAnsi="Arial" w:cs="Arial"/>
          <w:sz w:val="24"/>
          <w:szCs w:val="24"/>
        </w:rPr>
        <w:t xml:space="preserve">M. </w:t>
      </w:r>
      <w:proofErr w:type="spellStart"/>
      <w:r>
        <w:rPr>
          <w:rFonts w:ascii="Arial" w:hAnsi="Arial" w:cs="Arial"/>
          <w:sz w:val="24"/>
          <w:szCs w:val="24"/>
        </w:rPr>
        <w:t>Harma</w:t>
      </w:r>
      <w:proofErr w:type="spellEnd"/>
      <w:r>
        <w:rPr>
          <w:rFonts w:ascii="Arial" w:hAnsi="Arial" w:cs="Arial"/>
          <w:sz w:val="24"/>
          <w:szCs w:val="24"/>
        </w:rPr>
        <w:t xml:space="preserve">, N. </w:t>
      </w:r>
      <w:proofErr w:type="spellStart"/>
      <w:r>
        <w:rPr>
          <w:rFonts w:ascii="Arial" w:hAnsi="Arial" w:cs="Arial"/>
          <w:sz w:val="24"/>
          <w:szCs w:val="24"/>
        </w:rPr>
        <w:t>Gungen</w:t>
      </w:r>
      <w:proofErr w:type="spellEnd"/>
      <w:r>
        <w:rPr>
          <w:rFonts w:ascii="Arial" w:hAnsi="Arial" w:cs="Arial"/>
          <w:sz w:val="24"/>
          <w:szCs w:val="24"/>
        </w:rPr>
        <w:t>, and A. Ozturk, “B-Lynch uterine compression suture for postpartum haemorrhage due to placenta praevia accreta,” Australian and New Zealand Journal of Obstetrics and Gynaecology, vol. 45, no. 1,</w:t>
      </w:r>
    </w:p>
    <w:p w14:paraId="34299B30" w14:textId="77777777" w:rsidR="00105E84" w:rsidRPr="00643305" w:rsidRDefault="00105E84" w:rsidP="00105E84">
      <w:pPr>
        <w:pStyle w:val="ListParagraph"/>
        <w:numPr>
          <w:ilvl w:val="0"/>
          <w:numId w:val="2"/>
        </w:numPr>
        <w:spacing w:line="254" w:lineRule="auto"/>
        <w:jc w:val="both"/>
        <w:rPr>
          <w:rFonts w:ascii="Arial" w:hAnsi="Arial" w:cs="Arial"/>
          <w:sz w:val="24"/>
          <w:szCs w:val="24"/>
        </w:rPr>
      </w:pPr>
      <w:r>
        <w:rPr>
          <w:rFonts w:ascii="Arial" w:hAnsi="Arial" w:cs="Arial"/>
          <w:sz w:val="24"/>
          <w:szCs w:val="24"/>
        </w:rPr>
        <w:t xml:space="preserve">Application of the B-Lynch brace suture with associated intrauterine balloon catheter for massive haemorrhage due to placenta accreta following a second-trimester </w:t>
      </w:r>
      <w:r w:rsidRPr="00643305">
        <w:rPr>
          <w:rFonts w:ascii="Arial" w:hAnsi="Arial" w:cs="Arial"/>
          <w:sz w:val="24"/>
          <w:szCs w:val="24"/>
        </w:rPr>
        <w:t xml:space="preserve">miscarriage </w:t>
      </w:r>
      <w:hyperlink r:id="rId11" w:tgtFrame="_blank" w:history="1">
        <w:r w:rsidRPr="00643305">
          <w:rPr>
            <w:rStyle w:val="Hyperlink"/>
            <w:rFonts w:ascii="Arial" w:hAnsi="Arial" w:cs="Arial"/>
            <w:color w:val="auto"/>
            <w:sz w:val="24"/>
            <w:szCs w:val="24"/>
            <w:u w:val="none"/>
            <w:bdr w:val="none" w:sz="0" w:space="0" w:color="auto" w:frame="1"/>
          </w:rPr>
          <w:t>Journal of Obstetrics and Gynaecology</w:t>
        </w:r>
      </w:hyperlink>
      <w:r w:rsidRPr="00643305">
        <w:rPr>
          <w:rFonts w:ascii="Arial" w:hAnsi="Arial" w:cs="Arial"/>
          <w:sz w:val="24"/>
          <w:szCs w:val="24"/>
        </w:rPr>
        <w:t xml:space="preserve"> 26(3):267-8 · May 2006</w:t>
      </w:r>
    </w:p>
    <w:p w14:paraId="3B335EEC" w14:textId="77777777" w:rsidR="00105E84" w:rsidRPr="00643305" w:rsidRDefault="00105E84" w:rsidP="00105E84">
      <w:pPr>
        <w:pStyle w:val="contributor"/>
        <w:numPr>
          <w:ilvl w:val="0"/>
          <w:numId w:val="2"/>
        </w:numPr>
        <w:spacing w:before="0" w:beforeAutospacing="0" w:after="0" w:afterAutospacing="0" w:line="281" w:lineRule="atLeast"/>
        <w:jc w:val="both"/>
        <w:rPr>
          <w:rStyle w:val="name"/>
        </w:rPr>
      </w:pPr>
      <w:r>
        <w:rPr>
          <w:rFonts w:ascii="Arial" w:hAnsi="Arial" w:cs="Arial"/>
        </w:rPr>
        <w:t xml:space="preserve">The difficult </w:t>
      </w:r>
      <w:proofErr w:type="spellStart"/>
      <w:r>
        <w:rPr>
          <w:rFonts w:ascii="Arial" w:hAnsi="Arial" w:cs="Arial"/>
        </w:rPr>
        <w:t>pph</w:t>
      </w:r>
      <w:proofErr w:type="spellEnd"/>
      <w:r>
        <w:rPr>
          <w:rFonts w:ascii="Arial" w:hAnsi="Arial" w:cs="Arial"/>
        </w:rPr>
        <w:t xml:space="preserve">- experience of combined use of B-lynch brace suture and intrauterine Bakri Balloon York hospital </w:t>
      </w:r>
      <w:r>
        <w:rPr>
          <w:rStyle w:val="name"/>
          <w:rFonts w:ascii="Arial" w:hAnsi="Arial" w:cs="Arial"/>
        </w:rPr>
        <w:t>K Merrick</w:t>
      </w:r>
      <w:r>
        <w:rPr>
          <w:rFonts w:ascii="Arial" w:hAnsi="Arial" w:cs="Arial"/>
        </w:rPr>
        <w:t xml:space="preserve">, </w:t>
      </w:r>
      <w:r>
        <w:rPr>
          <w:rStyle w:val="name"/>
          <w:rFonts w:ascii="Arial" w:hAnsi="Arial" w:cs="Arial"/>
        </w:rPr>
        <w:t xml:space="preserve">O </w:t>
      </w:r>
      <w:proofErr w:type="spellStart"/>
      <w:r>
        <w:rPr>
          <w:rStyle w:val="name"/>
          <w:rFonts w:ascii="Arial" w:hAnsi="Arial" w:cs="Arial"/>
        </w:rPr>
        <w:t>Jibodu</w:t>
      </w:r>
      <w:r>
        <w:rPr>
          <w:rFonts w:ascii="Arial" w:hAnsi="Arial" w:cs="Arial"/>
        </w:rPr>
        <w:t>,</w:t>
      </w:r>
      <w:r>
        <w:rPr>
          <w:rStyle w:val="name"/>
          <w:rFonts w:ascii="Arial" w:hAnsi="Arial" w:cs="Arial"/>
        </w:rPr>
        <w:t>U</w:t>
      </w:r>
      <w:proofErr w:type="spellEnd"/>
      <w:r>
        <w:rPr>
          <w:rStyle w:val="name"/>
          <w:rFonts w:ascii="Arial" w:hAnsi="Arial" w:cs="Arial"/>
        </w:rPr>
        <w:t xml:space="preserve"> Rajesh </w:t>
      </w:r>
    </w:p>
    <w:p w14:paraId="3CCD5F72" w14:textId="77777777" w:rsidR="00105E84" w:rsidRDefault="00105E84" w:rsidP="00105E84">
      <w:pPr>
        <w:pStyle w:val="ListParagraph"/>
        <w:numPr>
          <w:ilvl w:val="0"/>
          <w:numId w:val="2"/>
        </w:numPr>
        <w:spacing w:line="254" w:lineRule="auto"/>
        <w:jc w:val="both"/>
        <w:rPr>
          <w:sz w:val="24"/>
          <w:szCs w:val="24"/>
        </w:rPr>
      </w:pPr>
      <w:r>
        <w:rPr>
          <w:rFonts w:ascii="Arial" w:hAnsi="Arial" w:cs="Arial"/>
          <w:sz w:val="24"/>
          <w:szCs w:val="24"/>
        </w:rPr>
        <w:t xml:space="preserve">Successful term delivery after </w:t>
      </w:r>
      <w:proofErr w:type="spellStart"/>
      <w:r>
        <w:rPr>
          <w:rFonts w:ascii="Arial" w:hAnsi="Arial" w:cs="Arial"/>
          <w:sz w:val="24"/>
          <w:szCs w:val="24"/>
        </w:rPr>
        <w:t>Khairy’s</w:t>
      </w:r>
      <w:proofErr w:type="spellEnd"/>
      <w:r>
        <w:rPr>
          <w:rFonts w:ascii="Arial" w:hAnsi="Arial" w:cs="Arial"/>
          <w:sz w:val="24"/>
          <w:szCs w:val="24"/>
        </w:rPr>
        <w:t xml:space="preserve"> modified B-lynch suture technique: First case report</w:t>
      </w:r>
    </w:p>
    <w:p w14:paraId="2DD37ED8" w14:textId="77777777" w:rsidR="00105E84" w:rsidRDefault="00105E84" w:rsidP="00105E84">
      <w:pPr>
        <w:pStyle w:val="ListParagraph"/>
        <w:jc w:val="both"/>
        <w:rPr>
          <w:rFonts w:ascii="Arial" w:hAnsi="Arial" w:cs="Arial"/>
          <w:sz w:val="24"/>
          <w:szCs w:val="24"/>
        </w:rPr>
      </w:pPr>
      <w:hyperlink r:id="rId12" w:tgtFrame="_blank" w:history="1">
        <w:r w:rsidRPr="00643305">
          <w:rPr>
            <w:rStyle w:val="Hyperlink"/>
            <w:rFonts w:ascii="Arial" w:hAnsi="Arial" w:cs="Arial"/>
            <w:color w:val="auto"/>
            <w:sz w:val="24"/>
            <w:szCs w:val="24"/>
            <w:u w:val="none"/>
            <w:bdr w:val="none" w:sz="0" w:space="0" w:color="auto" w:frame="1"/>
          </w:rPr>
          <w:t>Middle East Fertility Society Journal</w:t>
        </w:r>
      </w:hyperlink>
      <w:r>
        <w:rPr>
          <w:rFonts w:ascii="Arial" w:hAnsi="Arial" w:cs="Arial"/>
          <w:sz w:val="24"/>
          <w:szCs w:val="24"/>
        </w:rPr>
        <w:t xml:space="preserve"> 22(1):87-90 · March 2017</w:t>
      </w:r>
    </w:p>
    <w:p w14:paraId="25B5E38F" w14:textId="77777777" w:rsidR="00105E84" w:rsidRDefault="00105E84" w:rsidP="00105E84">
      <w:pPr>
        <w:pStyle w:val="ListParagraph"/>
        <w:numPr>
          <w:ilvl w:val="0"/>
          <w:numId w:val="2"/>
        </w:numPr>
        <w:spacing w:line="254" w:lineRule="auto"/>
        <w:jc w:val="both"/>
        <w:rPr>
          <w:rFonts w:ascii="Arial" w:hAnsi="Arial" w:cs="Arial"/>
          <w:sz w:val="24"/>
          <w:szCs w:val="24"/>
        </w:rPr>
      </w:pPr>
      <w:r>
        <w:rPr>
          <w:rFonts w:ascii="Arial" w:hAnsi="Arial" w:cs="Arial"/>
          <w:sz w:val="24"/>
          <w:szCs w:val="24"/>
        </w:rPr>
        <w:t>The uterine sandwich for persistent uterine atony: Combining the B-Lynch compression suture and an intrauterine Bakri balloon. A</w:t>
      </w:r>
      <w:hyperlink r:id="rId13" w:tgtFrame="_blank" w:history="1">
        <w:r w:rsidRPr="00643305">
          <w:rPr>
            <w:rStyle w:val="Hyperlink"/>
            <w:rFonts w:ascii="Arial" w:hAnsi="Arial" w:cs="Arial"/>
            <w:color w:val="auto"/>
            <w:sz w:val="24"/>
            <w:szCs w:val="24"/>
            <w:u w:val="none"/>
            <w:bdr w:val="none" w:sz="0" w:space="0" w:color="auto" w:frame="1"/>
          </w:rPr>
          <w:t>merican journal of obstetrics and gynecology</w:t>
        </w:r>
      </w:hyperlink>
      <w:r w:rsidRPr="00643305">
        <w:rPr>
          <w:rFonts w:ascii="Arial" w:hAnsi="Arial" w:cs="Arial"/>
          <w:sz w:val="24"/>
          <w:szCs w:val="24"/>
        </w:rPr>
        <w:t xml:space="preserve"> 19</w:t>
      </w:r>
      <w:r>
        <w:rPr>
          <w:rFonts w:ascii="Arial" w:hAnsi="Arial" w:cs="Arial"/>
          <w:sz w:val="24"/>
          <w:szCs w:val="24"/>
        </w:rPr>
        <w:t>6(5):e9-10 · June 2007</w:t>
      </w:r>
    </w:p>
    <w:p w14:paraId="4DE7BC8A" w14:textId="77777777" w:rsidR="00105E84" w:rsidRDefault="00105E84" w:rsidP="00105E84">
      <w:pPr>
        <w:pStyle w:val="ListParagraph"/>
        <w:numPr>
          <w:ilvl w:val="0"/>
          <w:numId w:val="2"/>
        </w:numPr>
        <w:spacing w:line="254" w:lineRule="auto"/>
        <w:jc w:val="both"/>
        <w:rPr>
          <w:rFonts w:ascii="Arial" w:hAnsi="Arial" w:cs="Arial"/>
          <w:sz w:val="24"/>
          <w:szCs w:val="24"/>
        </w:rPr>
      </w:pPr>
      <w:r>
        <w:rPr>
          <w:rFonts w:ascii="Arial" w:hAnsi="Arial" w:cs="Arial"/>
          <w:sz w:val="24"/>
          <w:szCs w:val="24"/>
        </w:rPr>
        <w:t xml:space="preserve">Use of combination method (uterine sandwich technique) to control postpartum hemorrhage </w:t>
      </w:r>
      <w:proofErr w:type="spellStart"/>
      <w:r>
        <w:rPr>
          <w:rFonts w:ascii="Arial" w:hAnsi="Arial" w:cs="Arial"/>
          <w:sz w:val="24"/>
          <w:szCs w:val="24"/>
        </w:rPr>
        <w:t>Atmajit</w:t>
      </w:r>
      <w:proofErr w:type="spellEnd"/>
      <w:r>
        <w:rPr>
          <w:rFonts w:ascii="Arial" w:hAnsi="Arial" w:cs="Arial"/>
          <w:sz w:val="24"/>
          <w:szCs w:val="24"/>
        </w:rPr>
        <w:t xml:space="preserve"> Singh Dhillon, </w:t>
      </w:r>
      <w:proofErr w:type="spellStart"/>
      <w:r>
        <w:rPr>
          <w:rFonts w:ascii="Arial" w:hAnsi="Arial" w:cs="Arial"/>
          <w:sz w:val="24"/>
          <w:szCs w:val="24"/>
        </w:rPr>
        <w:t>Karminder</w:t>
      </w:r>
      <w:proofErr w:type="spellEnd"/>
      <w:r>
        <w:rPr>
          <w:rFonts w:ascii="Arial" w:hAnsi="Arial" w:cs="Arial"/>
          <w:sz w:val="24"/>
          <w:szCs w:val="24"/>
        </w:rPr>
        <w:t xml:space="preserve"> Dhillon* l. Int J </w:t>
      </w:r>
      <w:proofErr w:type="spellStart"/>
      <w:r>
        <w:rPr>
          <w:rFonts w:ascii="Arial" w:hAnsi="Arial" w:cs="Arial"/>
          <w:sz w:val="24"/>
          <w:szCs w:val="24"/>
        </w:rPr>
        <w:t>Reprod</w:t>
      </w:r>
      <w:proofErr w:type="spellEnd"/>
      <w:r>
        <w:rPr>
          <w:rFonts w:ascii="Arial" w:hAnsi="Arial" w:cs="Arial"/>
          <w:sz w:val="24"/>
          <w:szCs w:val="24"/>
        </w:rPr>
        <w:t xml:space="preserve"> Contracept </w:t>
      </w:r>
      <w:proofErr w:type="spellStart"/>
      <w:r>
        <w:rPr>
          <w:rFonts w:ascii="Arial" w:hAnsi="Arial" w:cs="Arial"/>
          <w:sz w:val="24"/>
          <w:szCs w:val="24"/>
        </w:rPr>
        <w:t>Obstet</w:t>
      </w:r>
      <w:proofErr w:type="spellEnd"/>
      <w:r>
        <w:rPr>
          <w:rFonts w:ascii="Arial" w:hAnsi="Arial" w:cs="Arial"/>
          <w:sz w:val="24"/>
          <w:szCs w:val="24"/>
        </w:rPr>
        <w:t xml:space="preserve"> Gynecol. 2018 Jul;7(7):2753-2758 </w:t>
      </w:r>
    </w:p>
    <w:p w14:paraId="4E38E0EF" w14:textId="77777777" w:rsidR="00105E84" w:rsidRDefault="00105E84" w:rsidP="00105E84">
      <w:pPr>
        <w:pStyle w:val="ListParagraph"/>
        <w:spacing w:line="254" w:lineRule="auto"/>
        <w:jc w:val="both"/>
        <w:rPr>
          <w:rFonts w:ascii="Arial" w:hAnsi="Arial" w:cs="Arial"/>
          <w:sz w:val="24"/>
          <w:szCs w:val="24"/>
        </w:rPr>
      </w:pPr>
    </w:p>
    <w:p w14:paraId="771A12C1" w14:textId="77777777" w:rsidR="00105E84" w:rsidRDefault="00105E84" w:rsidP="00105E84">
      <w:pPr>
        <w:pStyle w:val="ListParagraph"/>
        <w:spacing w:line="254" w:lineRule="auto"/>
        <w:jc w:val="both"/>
        <w:rPr>
          <w:rFonts w:ascii="Arial" w:hAnsi="Arial" w:cs="Arial"/>
          <w:sz w:val="24"/>
          <w:szCs w:val="24"/>
        </w:rPr>
      </w:pPr>
    </w:p>
    <w:p w14:paraId="3E4E5F77" w14:textId="77777777" w:rsidR="00105E84" w:rsidRDefault="00105E84" w:rsidP="00105E84">
      <w:pPr>
        <w:pStyle w:val="ListParagraph"/>
        <w:numPr>
          <w:ilvl w:val="0"/>
          <w:numId w:val="3"/>
        </w:numPr>
        <w:spacing w:line="254" w:lineRule="auto"/>
        <w:jc w:val="both"/>
        <w:rPr>
          <w:rFonts w:ascii="Arial" w:hAnsi="Arial" w:cs="Arial"/>
          <w:sz w:val="24"/>
          <w:szCs w:val="24"/>
        </w:rPr>
      </w:pPr>
      <w:r>
        <w:rPr>
          <w:rFonts w:ascii="Arial" w:hAnsi="Arial" w:cs="Arial"/>
          <w:sz w:val="24"/>
          <w:szCs w:val="24"/>
        </w:rPr>
        <w:lastRenderedPageBreak/>
        <w:t>Biography</w:t>
      </w:r>
    </w:p>
    <w:p w14:paraId="3840B7A6" w14:textId="32062248" w:rsidR="00643305" w:rsidRDefault="00643305" w:rsidP="00643305">
      <w:pPr>
        <w:pStyle w:val="ListParagraph"/>
        <w:spacing w:line="254" w:lineRule="auto"/>
        <w:ind w:left="1080"/>
        <w:jc w:val="both"/>
        <w:rPr>
          <w:rFonts w:ascii="Arial" w:hAnsi="Arial" w:cs="Arial"/>
          <w:sz w:val="24"/>
          <w:szCs w:val="24"/>
        </w:rPr>
      </w:pPr>
      <w:r>
        <w:rPr>
          <w:rFonts w:ascii="Arial" w:hAnsi="Arial" w:cs="Arial"/>
          <w:sz w:val="24"/>
          <w:szCs w:val="24"/>
        </w:rPr>
        <w:t xml:space="preserve">Dr. Rowena A. Zaplan is a consultant in Obstetrics and Gynaecology in </w:t>
      </w:r>
      <w:r w:rsidR="00A305AA">
        <w:rPr>
          <w:rFonts w:ascii="Arial" w:hAnsi="Arial" w:cs="Arial"/>
          <w:sz w:val="24"/>
          <w:szCs w:val="24"/>
        </w:rPr>
        <w:t>Armed Forces Hospital (</w:t>
      </w:r>
      <w:r>
        <w:rPr>
          <w:rFonts w:ascii="Arial" w:hAnsi="Arial" w:cs="Arial"/>
          <w:sz w:val="24"/>
          <w:szCs w:val="24"/>
        </w:rPr>
        <w:t>AFH</w:t>
      </w:r>
      <w:r w:rsidR="00A305AA">
        <w:rPr>
          <w:rFonts w:ascii="Arial" w:hAnsi="Arial" w:cs="Arial"/>
          <w:sz w:val="24"/>
          <w:szCs w:val="24"/>
        </w:rPr>
        <w:t>)</w:t>
      </w:r>
      <w:r>
        <w:rPr>
          <w:rFonts w:ascii="Arial" w:hAnsi="Arial" w:cs="Arial"/>
          <w:sz w:val="24"/>
          <w:szCs w:val="24"/>
        </w:rPr>
        <w:t>, Oman</w:t>
      </w:r>
      <w:r w:rsidR="00A305AA">
        <w:rPr>
          <w:rFonts w:ascii="Arial" w:hAnsi="Arial" w:cs="Arial"/>
          <w:sz w:val="24"/>
          <w:szCs w:val="24"/>
        </w:rPr>
        <w:t xml:space="preserve"> and joins the prestigious hospital since 2013</w:t>
      </w:r>
      <w:r>
        <w:rPr>
          <w:rFonts w:ascii="Arial" w:hAnsi="Arial" w:cs="Arial"/>
          <w:sz w:val="24"/>
          <w:szCs w:val="24"/>
        </w:rPr>
        <w:t xml:space="preserve">. She </w:t>
      </w:r>
      <w:r w:rsidR="00A305AA">
        <w:rPr>
          <w:rFonts w:ascii="Arial" w:hAnsi="Arial" w:cs="Arial"/>
          <w:sz w:val="24"/>
          <w:szCs w:val="24"/>
        </w:rPr>
        <w:t xml:space="preserve">works as a clinician and an associate professor for 15 years. She is a medical graduate from Philippines and </w:t>
      </w:r>
      <w:r w:rsidR="00105E84">
        <w:rPr>
          <w:rFonts w:ascii="Arial" w:hAnsi="Arial" w:cs="Arial"/>
          <w:sz w:val="24"/>
          <w:szCs w:val="24"/>
        </w:rPr>
        <w:t xml:space="preserve">a certified Fellow of Philippine Obstetrics and Gynecology Society (POGs). </w:t>
      </w:r>
    </w:p>
    <w:p w14:paraId="0110A8F1" w14:textId="6D692B60"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 xml:space="preserve">Dr. Amal Al Fana is a consultant in Obstetrics and Gynaecology (Minimal Invasive Gynecology Surgery) in AFH, Oman. </w:t>
      </w:r>
    </w:p>
    <w:p w14:paraId="76B1E800" w14:textId="3FC665E9"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 xml:space="preserve">Dr. Michelle Desierto is a specialist in Obstetrics and Gynaecology in AFH, Oman. </w:t>
      </w:r>
      <w:r>
        <w:rPr>
          <w:rFonts w:ascii="Arial" w:hAnsi="Arial" w:cs="Arial"/>
          <w:sz w:val="24"/>
          <w:szCs w:val="24"/>
        </w:rPr>
        <w:t>She is a medical graduate from Philippines and a certified Fellow of Philippine Obstetrics and Gynecology Society (POGs).</w:t>
      </w:r>
    </w:p>
    <w:p w14:paraId="73731D04" w14:textId="5D051366" w:rsidR="00105E84" w:rsidRDefault="00105E84" w:rsidP="00105E84">
      <w:pPr>
        <w:spacing w:line="254" w:lineRule="auto"/>
        <w:jc w:val="both"/>
        <w:rPr>
          <w:rFonts w:ascii="Arial" w:hAnsi="Arial" w:cs="Arial"/>
          <w:sz w:val="24"/>
          <w:szCs w:val="24"/>
        </w:rPr>
      </w:pPr>
    </w:p>
    <w:p w14:paraId="26C62B17" w14:textId="2DEF20E9" w:rsidR="00105E84" w:rsidRDefault="00105E84" w:rsidP="00105E84">
      <w:pPr>
        <w:pStyle w:val="ListParagraph"/>
        <w:numPr>
          <w:ilvl w:val="0"/>
          <w:numId w:val="3"/>
        </w:numPr>
        <w:spacing w:line="254" w:lineRule="auto"/>
        <w:jc w:val="both"/>
        <w:rPr>
          <w:rFonts w:ascii="Arial" w:hAnsi="Arial" w:cs="Arial"/>
          <w:sz w:val="24"/>
          <w:szCs w:val="24"/>
        </w:rPr>
      </w:pPr>
      <w:r>
        <w:rPr>
          <w:rFonts w:ascii="Arial" w:hAnsi="Arial" w:cs="Arial"/>
          <w:sz w:val="24"/>
          <w:szCs w:val="24"/>
        </w:rPr>
        <w:t>Presenting Author Details</w:t>
      </w:r>
    </w:p>
    <w:p w14:paraId="49CE52F3" w14:textId="1613F437" w:rsidR="00390B3F" w:rsidRDefault="00390B3F" w:rsidP="00390B3F">
      <w:pPr>
        <w:pStyle w:val="ListParagraph"/>
        <w:spacing w:line="254" w:lineRule="auto"/>
        <w:ind w:left="1080"/>
        <w:jc w:val="both"/>
        <w:rPr>
          <w:rFonts w:ascii="Arial" w:hAnsi="Arial" w:cs="Arial"/>
          <w:sz w:val="24"/>
          <w:szCs w:val="24"/>
        </w:rPr>
      </w:pPr>
      <w:r>
        <w:rPr>
          <w:rFonts w:ascii="Arial" w:hAnsi="Arial" w:cs="Arial"/>
          <w:noProof/>
          <w:sz w:val="24"/>
          <w:szCs w:val="24"/>
        </w:rPr>
        <w:drawing>
          <wp:inline distT="0" distB="0" distL="0" distR="0" wp14:anchorId="168C9F93" wp14:editId="68C8B684">
            <wp:extent cx="1119674" cy="106934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986_90840682830_6124160_n.jpg"/>
                    <pic:cNvPicPr/>
                  </pic:nvPicPr>
                  <pic:blipFill>
                    <a:blip r:embed="rId14">
                      <a:extLst>
                        <a:ext uri="{28A0092B-C50C-407E-A947-70E740481C1C}">
                          <a14:useLocalDpi xmlns:a14="http://schemas.microsoft.com/office/drawing/2010/main" val="0"/>
                        </a:ext>
                      </a:extLst>
                    </a:blip>
                    <a:stretch>
                      <a:fillRect/>
                    </a:stretch>
                  </pic:blipFill>
                  <pic:spPr>
                    <a:xfrm>
                      <a:off x="0" y="0"/>
                      <a:ext cx="1127406" cy="1076725"/>
                    </a:xfrm>
                    <a:prstGeom prst="rect">
                      <a:avLst/>
                    </a:prstGeom>
                  </pic:spPr>
                </pic:pic>
              </a:graphicData>
            </a:graphic>
          </wp:inline>
        </w:drawing>
      </w:r>
    </w:p>
    <w:p w14:paraId="4ABD5F96" w14:textId="77777777" w:rsidR="00390B3F" w:rsidRDefault="00390B3F" w:rsidP="00390B3F">
      <w:pPr>
        <w:pStyle w:val="ListParagraph"/>
        <w:spacing w:line="254" w:lineRule="auto"/>
        <w:ind w:left="1080"/>
        <w:jc w:val="both"/>
        <w:rPr>
          <w:rFonts w:ascii="Arial" w:hAnsi="Arial" w:cs="Arial"/>
          <w:sz w:val="24"/>
          <w:szCs w:val="24"/>
        </w:rPr>
      </w:pPr>
      <w:bookmarkStart w:id="0" w:name="_GoBack"/>
      <w:bookmarkEnd w:id="0"/>
    </w:p>
    <w:p w14:paraId="0103E7DF" w14:textId="028352F1"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Full name: Rowena Zaplan</w:t>
      </w:r>
    </w:p>
    <w:p w14:paraId="7C292911" w14:textId="227D007F"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Contact Number: +96898246142</w:t>
      </w:r>
    </w:p>
    <w:p w14:paraId="1F5B2E72" w14:textId="1C3A28E3"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Twitter Account:</w:t>
      </w:r>
    </w:p>
    <w:p w14:paraId="7E3F5D62" w14:textId="4EBE554C"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Linked in Account:</w:t>
      </w:r>
    </w:p>
    <w:p w14:paraId="76DB135B" w14:textId="3088D2EB"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Session name/number:</w:t>
      </w:r>
    </w:p>
    <w:p w14:paraId="77BAC437" w14:textId="7DB13298" w:rsid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Category (Poster presentation)</w:t>
      </w:r>
    </w:p>
    <w:p w14:paraId="11EEDA45" w14:textId="5ACB9030" w:rsidR="00105E84" w:rsidRPr="00105E84" w:rsidRDefault="00105E84" w:rsidP="00105E84">
      <w:pPr>
        <w:pStyle w:val="ListParagraph"/>
        <w:spacing w:line="254" w:lineRule="auto"/>
        <w:ind w:left="1080"/>
        <w:jc w:val="both"/>
        <w:rPr>
          <w:rFonts w:ascii="Arial" w:hAnsi="Arial" w:cs="Arial"/>
          <w:sz w:val="24"/>
          <w:szCs w:val="24"/>
        </w:rPr>
      </w:pPr>
      <w:r>
        <w:rPr>
          <w:rFonts w:ascii="Arial" w:hAnsi="Arial" w:cs="Arial"/>
          <w:sz w:val="24"/>
          <w:szCs w:val="24"/>
        </w:rPr>
        <w:t>Passport Number:P8897917A</w:t>
      </w:r>
    </w:p>
    <w:p w14:paraId="4B4B1D53" w14:textId="77777777" w:rsidR="00105E84" w:rsidRPr="00105E84" w:rsidRDefault="00105E84" w:rsidP="00105E84">
      <w:pPr>
        <w:spacing w:line="254" w:lineRule="auto"/>
        <w:jc w:val="both"/>
        <w:rPr>
          <w:rFonts w:ascii="Arial" w:hAnsi="Arial" w:cs="Arial"/>
          <w:sz w:val="24"/>
          <w:szCs w:val="24"/>
        </w:rPr>
      </w:pPr>
    </w:p>
    <w:p w14:paraId="44F3F96C" w14:textId="77777777" w:rsidR="007802B1" w:rsidRDefault="007802B1" w:rsidP="007E44C3">
      <w:pPr>
        <w:spacing w:line="240" w:lineRule="auto"/>
        <w:rPr>
          <w:rFonts w:ascii="Arial" w:hAnsi="Arial" w:cs="Arial"/>
          <w:sz w:val="24"/>
          <w:szCs w:val="24"/>
        </w:rPr>
      </w:pPr>
    </w:p>
    <w:sectPr w:rsidR="007802B1" w:rsidSect="005D08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CF3F60"/>
    <w:multiLevelType w:val="hybridMultilevel"/>
    <w:tmpl w:val="E370C9C2"/>
    <w:lvl w:ilvl="0" w:tplc="11A8C0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CF77CF"/>
    <w:multiLevelType w:val="hybridMultilevel"/>
    <w:tmpl w:val="08481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CFB"/>
    <w:rsid w:val="000606B2"/>
    <w:rsid w:val="000B2BD1"/>
    <w:rsid w:val="00105E84"/>
    <w:rsid w:val="0014418B"/>
    <w:rsid w:val="00160F58"/>
    <w:rsid w:val="00165691"/>
    <w:rsid w:val="00183AAC"/>
    <w:rsid w:val="001E5CE3"/>
    <w:rsid w:val="00202663"/>
    <w:rsid w:val="002270D1"/>
    <w:rsid w:val="0023513E"/>
    <w:rsid w:val="00284187"/>
    <w:rsid w:val="002F4EA1"/>
    <w:rsid w:val="00390B3F"/>
    <w:rsid w:val="00394DE3"/>
    <w:rsid w:val="00410979"/>
    <w:rsid w:val="004D75DC"/>
    <w:rsid w:val="0058175D"/>
    <w:rsid w:val="00592918"/>
    <w:rsid w:val="0062086E"/>
    <w:rsid w:val="00643305"/>
    <w:rsid w:val="00683990"/>
    <w:rsid w:val="00697F41"/>
    <w:rsid w:val="006B54FC"/>
    <w:rsid w:val="00711C79"/>
    <w:rsid w:val="007439AE"/>
    <w:rsid w:val="007802B1"/>
    <w:rsid w:val="00780A5D"/>
    <w:rsid w:val="007B1FD3"/>
    <w:rsid w:val="007E44C3"/>
    <w:rsid w:val="00804779"/>
    <w:rsid w:val="008122F2"/>
    <w:rsid w:val="00814648"/>
    <w:rsid w:val="008C3F86"/>
    <w:rsid w:val="008F1A06"/>
    <w:rsid w:val="008F3BC1"/>
    <w:rsid w:val="00944067"/>
    <w:rsid w:val="00956CC1"/>
    <w:rsid w:val="009B2E79"/>
    <w:rsid w:val="00A036F0"/>
    <w:rsid w:val="00A305AA"/>
    <w:rsid w:val="00A32181"/>
    <w:rsid w:val="00A66B6B"/>
    <w:rsid w:val="00AA5315"/>
    <w:rsid w:val="00AB35B1"/>
    <w:rsid w:val="00B662ED"/>
    <w:rsid w:val="00BE6CB4"/>
    <w:rsid w:val="00C54B96"/>
    <w:rsid w:val="00C73CB8"/>
    <w:rsid w:val="00CA0CFB"/>
    <w:rsid w:val="00CB0991"/>
    <w:rsid w:val="00CD0520"/>
    <w:rsid w:val="00D02DAF"/>
    <w:rsid w:val="00D066A4"/>
    <w:rsid w:val="00E55AB7"/>
    <w:rsid w:val="00F55A4E"/>
    <w:rsid w:val="00FC3756"/>
    <w:rsid w:val="00FE2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6690"/>
  <w15:chartTrackingRefBased/>
  <w15:docId w15:val="{BE006153-2E14-49B8-82DE-73225125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11C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C79"/>
    <w:rPr>
      <w:color w:val="0000FF"/>
      <w:u w:val="single"/>
    </w:rPr>
  </w:style>
  <w:style w:type="paragraph" w:styleId="NormalWeb">
    <w:name w:val="Normal (Web)"/>
    <w:basedOn w:val="Normal"/>
    <w:uiPriority w:val="99"/>
    <w:unhideWhenUsed/>
    <w:rsid w:val="00711C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ibutor">
    <w:name w:val="contributor"/>
    <w:basedOn w:val="Normal"/>
    <w:uiPriority w:val="99"/>
    <w:rsid w:val="00711C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me">
    <w:name w:val="name"/>
    <w:basedOn w:val="DefaultParagraphFont"/>
    <w:rsid w:val="00711C79"/>
  </w:style>
  <w:style w:type="character" w:customStyle="1" w:styleId="reflinks">
    <w:name w:val="reflinks"/>
    <w:basedOn w:val="DefaultParagraphFont"/>
    <w:rsid w:val="00711C79"/>
  </w:style>
  <w:style w:type="character" w:customStyle="1" w:styleId="sep">
    <w:name w:val="sep"/>
    <w:basedOn w:val="DefaultParagraphFont"/>
    <w:rsid w:val="00711C79"/>
  </w:style>
  <w:style w:type="paragraph" w:styleId="ListParagraph">
    <w:name w:val="List Paragraph"/>
    <w:basedOn w:val="Normal"/>
    <w:uiPriority w:val="34"/>
    <w:qFormat/>
    <w:rsid w:val="00711C79"/>
    <w:pPr>
      <w:ind w:left="720"/>
      <w:contextualSpacing/>
    </w:pPr>
  </w:style>
  <w:style w:type="character" w:customStyle="1" w:styleId="xref-bibr">
    <w:name w:val="xref-bibr"/>
    <w:basedOn w:val="DefaultParagraphFont"/>
    <w:rsid w:val="00683990"/>
  </w:style>
  <w:style w:type="character" w:styleId="UnresolvedMention">
    <w:name w:val="Unresolved Mention"/>
    <w:basedOn w:val="DefaultParagraphFont"/>
    <w:uiPriority w:val="99"/>
    <w:semiHidden/>
    <w:unhideWhenUsed/>
    <w:rsid w:val="00643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544355">
      <w:bodyDiv w:val="1"/>
      <w:marLeft w:val="0"/>
      <w:marRight w:val="0"/>
      <w:marTop w:val="0"/>
      <w:marBottom w:val="0"/>
      <w:divBdr>
        <w:top w:val="none" w:sz="0" w:space="0" w:color="auto"/>
        <w:left w:val="none" w:sz="0" w:space="0" w:color="auto"/>
        <w:bottom w:val="none" w:sz="0" w:space="0" w:color="auto"/>
        <w:right w:val="none" w:sz="0" w:space="0" w:color="auto"/>
      </w:divBdr>
    </w:div>
    <w:div w:id="1557156587">
      <w:bodyDiv w:val="1"/>
      <w:marLeft w:val="0"/>
      <w:marRight w:val="0"/>
      <w:marTop w:val="0"/>
      <w:marBottom w:val="0"/>
      <w:divBdr>
        <w:top w:val="none" w:sz="0" w:space="0" w:color="auto"/>
        <w:left w:val="none" w:sz="0" w:space="0" w:color="auto"/>
        <w:bottom w:val="none" w:sz="0" w:space="0" w:color="auto"/>
        <w:right w:val="none" w:sz="0" w:space="0" w:color="auto"/>
      </w:divBdr>
    </w:div>
    <w:div w:id="160113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searchgate.net/journal/1097-6868_American_journal_of_obstetrics_and_gynecology"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searchgate.net/journal/1110-5690_Middle_East_Fertility_Society_Journ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searchgate.net/journal/0144-3615_Journal_of_Obstetrics_and_Gynaecology"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 Zaplan</dc:creator>
  <cp:keywords/>
  <dc:description/>
  <cp:lastModifiedBy>Rowena Zaplan</cp:lastModifiedBy>
  <cp:revision>4</cp:revision>
  <dcterms:created xsi:type="dcterms:W3CDTF">2019-09-24T18:02:00Z</dcterms:created>
  <dcterms:modified xsi:type="dcterms:W3CDTF">2019-09-24T19:32:00Z</dcterms:modified>
</cp:coreProperties>
</file>