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1A3AE1">
      <w:pPr>
        <w:pStyle w:val="BodyText"/>
        <w:spacing w:before="5"/>
        <w:rPr>
          <w:sz w:val="10"/>
        </w:rPr>
      </w:pPr>
      <w:r>
        <w:rPr>
          <w:noProof/>
          <w:sz w:val="10"/>
        </w:rPr>
        <w:drawing>
          <wp:inline distT="0" distB="0" distL="0" distR="0">
            <wp:extent cx="7359650" cy="953816"/>
            <wp:effectExtent l="0" t="0" r="0" b="0"/>
            <wp:docPr id="1" name="Picture 1" descr="C:\Users\gynecology-minl\Desktop\Gynecology 2019\gyna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gynacology 201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59650" cy="953816"/>
                    </a:xfrm>
                    <a:prstGeom prst="rect">
                      <a:avLst/>
                    </a:prstGeom>
                    <a:noFill/>
                    <a:ln>
                      <a:noFill/>
                    </a:ln>
                  </pic:spPr>
                </pic:pic>
              </a:graphicData>
            </a:graphic>
          </wp:inline>
        </w:drawing>
      </w:r>
    </w:p>
    <w:p w:rsidR="008C3ACE" w:rsidRDefault="00605747" w:rsidP="00140BB6">
      <w:pPr>
        <w:pStyle w:val="Heading1"/>
        <w:ind w:left="1105" w:right="1062"/>
        <w:jc w:val="center"/>
      </w:pPr>
      <w:r>
        <w:rPr>
          <w:noProof/>
        </w:rPr>
        <mc:AlternateContent>
          <mc:Choice Requires="wps">
            <w:drawing>
              <wp:anchor distT="0" distB="0" distL="0" distR="0" simplePos="0" relativeHeight="251657728" behindDoc="0" locked="0" layoutInCell="1" allowOverlap="1" wp14:anchorId="0ED6DF9C" wp14:editId="644D0D08">
                <wp:simplePos x="0" y="0"/>
                <wp:positionH relativeFrom="page">
                  <wp:posOffset>173990</wp:posOffset>
                </wp:positionH>
                <wp:positionV relativeFrom="paragraph">
                  <wp:posOffset>110490</wp:posOffset>
                </wp:positionV>
                <wp:extent cx="7200900" cy="0"/>
                <wp:effectExtent l="0" t="0" r="1905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7pt,8.7pt" to="580.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" strokecolor="#548dd4 [1951]" strokeweight="2pt">
                <w10:wrap type="topAndBottom" anchorx="page"/>
              </v:line>
            </w:pict>
          </mc:Fallback>
        </mc:AlternateContent>
      </w:r>
      <w:r w:rsidR="00B5063E">
        <w:rPr>
          <w:color w:val="585858"/>
          <w:u w:val="thick" w:color="585858"/>
        </w:rPr>
        <w:t xml:space="preserve">Abstract </w:t>
      </w:r>
    </w:p>
    <w:p w:rsidR="008C3ACE" w:rsidRDefault="008C3ACE">
      <w:pPr>
        <w:pStyle w:val="BodyText"/>
        <w:rPr>
          <w:b/>
          <w:sz w:val="14"/>
        </w:rPr>
      </w:pPr>
    </w:p>
    <w:p w:rsidR="006D0980" w:rsidRPr="00514AE9" w:rsidRDefault="006D0980" w:rsidP="006D0980">
      <w:pPr>
        <w:jc w:val="both"/>
        <w:rPr>
          <w:rFonts w:asciiTheme="majorBidi" w:hAnsiTheme="majorBidi" w:cstheme="majorBidi"/>
          <w:b/>
          <w:bCs/>
          <w:sz w:val="24"/>
          <w:szCs w:val="24"/>
          <w:lang w:bidi="fa-IR"/>
        </w:rPr>
      </w:pPr>
      <w:r>
        <w:rPr>
          <w:b/>
          <w:color w:val="585858"/>
        </w:rPr>
        <w:t xml:space="preserve">       </w:t>
      </w:r>
      <w:r w:rsidR="00B5063E">
        <w:rPr>
          <w:b/>
          <w:color w:val="585858"/>
        </w:rPr>
        <w:t xml:space="preserve">Title: </w:t>
      </w:r>
      <w:r w:rsidRPr="00514AE9">
        <w:rPr>
          <w:rFonts w:asciiTheme="majorBidi" w:hAnsiTheme="majorBidi" w:cstheme="majorBidi"/>
          <w:b/>
          <w:bCs/>
          <w:sz w:val="24"/>
          <w:szCs w:val="24"/>
          <w:lang w:bidi="fa-IR"/>
        </w:rPr>
        <w:t>Umbilical Coiling Index, Associated with Intrapartum and Neonatal Outcomes.</w:t>
      </w:r>
    </w:p>
    <w:p w:rsidR="006D0980" w:rsidRDefault="006D0980" w:rsidP="006D0980">
      <w:pPr>
        <w:ind w:left="426"/>
        <w:jc w:val="both"/>
        <w:rPr>
          <w:rFonts w:asciiTheme="majorBidi" w:hAnsiTheme="majorBidi" w:cstheme="majorBidi"/>
          <w:sz w:val="20"/>
          <w:szCs w:val="20"/>
          <w:vertAlign w:val="superscript"/>
        </w:rPr>
      </w:pPr>
      <w:r w:rsidRPr="006D0980">
        <w:rPr>
          <w:rFonts w:asciiTheme="majorBidi" w:hAnsiTheme="majorBidi" w:cstheme="majorBidi"/>
          <w:sz w:val="20"/>
          <w:szCs w:val="20"/>
        </w:rPr>
        <w:t>Laily Najafi</w:t>
      </w:r>
      <w:r w:rsidRPr="006D0980">
        <w:rPr>
          <w:rFonts w:asciiTheme="majorBidi" w:hAnsiTheme="majorBidi" w:cstheme="majorBidi"/>
          <w:sz w:val="20"/>
          <w:szCs w:val="20"/>
          <w:vertAlign w:val="superscript"/>
        </w:rPr>
        <w:t>1</w:t>
      </w:r>
      <w:r w:rsidRPr="006D0980">
        <w:rPr>
          <w:rFonts w:asciiTheme="majorBidi" w:hAnsiTheme="majorBidi" w:cstheme="majorBidi"/>
          <w:sz w:val="20"/>
          <w:szCs w:val="20"/>
        </w:rPr>
        <w:t>, Mohammad E. Khamseh</w:t>
      </w:r>
      <w:r w:rsidRPr="006D0980">
        <w:rPr>
          <w:rFonts w:asciiTheme="majorBidi" w:hAnsiTheme="majorBidi" w:cstheme="majorBidi"/>
          <w:sz w:val="20"/>
          <w:szCs w:val="20"/>
          <w:vertAlign w:val="superscript"/>
        </w:rPr>
        <w:t>1</w:t>
      </w:r>
      <w:r w:rsidRPr="006D0980">
        <w:rPr>
          <w:rFonts w:asciiTheme="majorBidi" w:hAnsiTheme="majorBidi" w:cstheme="majorBidi"/>
          <w:sz w:val="20"/>
          <w:szCs w:val="20"/>
        </w:rPr>
        <w:t xml:space="preserve">, </w:t>
      </w:r>
      <w:proofErr w:type="spellStart"/>
      <w:r w:rsidRPr="006D0980">
        <w:rPr>
          <w:rFonts w:asciiTheme="majorBidi" w:hAnsiTheme="majorBidi" w:cstheme="majorBidi"/>
          <w:sz w:val="20"/>
          <w:szCs w:val="20"/>
        </w:rPr>
        <w:t>Azadeh</w:t>
      </w:r>
      <w:proofErr w:type="spellEnd"/>
      <w:r w:rsidRPr="006D0980">
        <w:rPr>
          <w:rFonts w:asciiTheme="majorBidi" w:hAnsiTheme="majorBidi" w:cstheme="majorBidi"/>
          <w:sz w:val="20"/>
          <w:szCs w:val="20"/>
        </w:rPr>
        <w:t xml:space="preserve"> Abedini</w:t>
      </w:r>
      <w:r w:rsidRPr="006D0980">
        <w:rPr>
          <w:rFonts w:asciiTheme="majorBidi" w:hAnsiTheme="majorBidi" w:cstheme="majorBidi"/>
          <w:sz w:val="20"/>
          <w:szCs w:val="20"/>
          <w:vertAlign w:val="superscript"/>
        </w:rPr>
        <w:t>2</w:t>
      </w:r>
      <w:r w:rsidRPr="006D0980">
        <w:rPr>
          <w:rFonts w:asciiTheme="majorBidi" w:hAnsiTheme="majorBidi" w:cstheme="majorBidi"/>
          <w:sz w:val="20"/>
          <w:szCs w:val="20"/>
        </w:rPr>
        <w:t>, Maryam Kadivar</w:t>
      </w:r>
      <w:r w:rsidRPr="006D0980">
        <w:rPr>
          <w:rFonts w:asciiTheme="majorBidi" w:hAnsiTheme="majorBidi" w:cstheme="majorBidi"/>
          <w:sz w:val="20"/>
          <w:szCs w:val="20"/>
          <w:vertAlign w:val="superscript"/>
        </w:rPr>
        <w:t>3</w:t>
      </w:r>
      <w:r w:rsidRPr="006D0980">
        <w:rPr>
          <w:rFonts w:asciiTheme="majorBidi" w:hAnsiTheme="majorBidi" w:cstheme="majorBidi"/>
          <w:sz w:val="20"/>
          <w:szCs w:val="20"/>
        </w:rPr>
        <w:t>, Amir Hussein Noohi</w:t>
      </w:r>
      <w:r w:rsidRPr="006D0980">
        <w:rPr>
          <w:rFonts w:asciiTheme="majorBidi" w:hAnsiTheme="majorBidi" w:cstheme="majorBidi"/>
          <w:sz w:val="20"/>
          <w:szCs w:val="20"/>
          <w:vertAlign w:val="superscript"/>
        </w:rPr>
        <w:t>2</w:t>
      </w:r>
      <w:r w:rsidRPr="006D0980">
        <w:rPr>
          <w:rFonts w:asciiTheme="majorBidi" w:hAnsiTheme="majorBidi" w:cstheme="majorBidi"/>
          <w:sz w:val="20"/>
          <w:szCs w:val="20"/>
        </w:rPr>
        <w:t>, Mojtaba Malek</w:t>
      </w:r>
      <w:r w:rsidRPr="006D0980">
        <w:rPr>
          <w:rFonts w:asciiTheme="majorBidi" w:hAnsiTheme="majorBidi" w:cstheme="majorBidi"/>
          <w:sz w:val="20"/>
          <w:szCs w:val="20"/>
          <w:vertAlign w:val="superscript"/>
        </w:rPr>
        <w:t>4</w:t>
      </w:r>
    </w:p>
    <w:p w:rsidR="006D0980" w:rsidRPr="006D0980" w:rsidRDefault="006D0980" w:rsidP="006D0980">
      <w:pPr>
        <w:ind w:left="426"/>
        <w:jc w:val="both"/>
        <w:rPr>
          <w:rFonts w:asciiTheme="majorBidi" w:hAnsiTheme="majorBidi" w:cstheme="majorBidi"/>
          <w:sz w:val="20"/>
          <w:szCs w:val="20"/>
        </w:rPr>
      </w:pPr>
    </w:p>
    <w:p w:rsidR="006D0980" w:rsidRPr="009B1CC8" w:rsidRDefault="006D0980" w:rsidP="006D0980">
      <w:pPr>
        <w:ind w:left="426"/>
        <w:jc w:val="both"/>
        <w:rPr>
          <w:rFonts w:asciiTheme="majorBidi" w:hAnsiTheme="majorBidi" w:cstheme="majorBidi"/>
          <w:sz w:val="20"/>
          <w:szCs w:val="20"/>
        </w:rPr>
      </w:pPr>
      <w:r w:rsidRPr="009B1CC8">
        <w:rPr>
          <w:rFonts w:asciiTheme="majorBidi" w:hAnsiTheme="majorBidi" w:cstheme="majorBidi"/>
          <w:sz w:val="20"/>
          <w:szCs w:val="20"/>
        </w:rPr>
        <w:t>1 Endocrine Research Center, Institute of Endocrinology and Metabolism, Iran University of Medical Sciences (IUMS), Tehran, Iran.</w:t>
      </w:r>
    </w:p>
    <w:p w:rsidR="006D0980" w:rsidRPr="009B1CC8" w:rsidRDefault="006D0980" w:rsidP="006D0980">
      <w:pPr>
        <w:ind w:left="426"/>
        <w:jc w:val="both"/>
        <w:rPr>
          <w:rFonts w:asciiTheme="majorBidi" w:hAnsiTheme="majorBidi" w:cstheme="majorBidi"/>
          <w:sz w:val="20"/>
          <w:szCs w:val="20"/>
        </w:rPr>
      </w:pPr>
      <w:r w:rsidRPr="009B1CC8">
        <w:rPr>
          <w:rFonts w:asciiTheme="majorBidi" w:hAnsiTheme="majorBidi" w:cstheme="majorBidi"/>
          <w:sz w:val="20"/>
          <w:szCs w:val="20"/>
        </w:rPr>
        <w:t xml:space="preserve">2 Kamali Teaching </w:t>
      </w:r>
      <w:proofErr w:type="gramStart"/>
      <w:r w:rsidRPr="009B1CC8">
        <w:rPr>
          <w:rFonts w:asciiTheme="majorBidi" w:hAnsiTheme="majorBidi" w:cstheme="majorBidi"/>
          <w:sz w:val="20"/>
          <w:szCs w:val="20"/>
        </w:rPr>
        <w:t>hospital</w:t>
      </w:r>
      <w:proofErr w:type="gramEnd"/>
      <w:r w:rsidRPr="009B1CC8">
        <w:rPr>
          <w:rFonts w:asciiTheme="majorBidi" w:hAnsiTheme="majorBidi" w:cstheme="majorBidi"/>
          <w:sz w:val="20"/>
          <w:szCs w:val="20"/>
        </w:rPr>
        <w:t>, Alborz University of medical sciences, Karaj, Iran.</w:t>
      </w:r>
    </w:p>
    <w:p w:rsidR="006D0980" w:rsidRPr="009B1CC8" w:rsidRDefault="006D0980" w:rsidP="006D0980">
      <w:pPr>
        <w:ind w:left="426"/>
        <w:jc w:val="both"/>
        <w:rPr>
          <w:rFonts w:asciiTheme="majorBidi" w:hAnsiTheme="majorBidi" w:cstheme="majorBidi"/>
          <w:sz w:val="20"/>
          <w:szCs w:val="20"/>
        </w:rPr>
      </w:pPr>
      <w:r w:rsidRPr="009B1CC8">
        <w:rPr>
          <w:rFonts w:asciiTheme="majorBidi" w:hAnsiTheme="majorBidi" w:cstheme="majorBidi"/>
          <w:sz w:val="20"/>
          <w:szCs w:val="20"/>
        </w:rPr>
        <w:t>3Department of Pathology, Hazrat-e- Rasool Akram General hospital, Iran University of Medical Sciences (IUMS), Tehran, Iran.</w:t>
      </w:r>
    </w:p>
    <w:p w:rsidR="006D0980" w:rsidRPr="009B1CC8" w:rsidRDefault="006D0980" w:rsidP="006D0980">
      <w:pPr>
        <w:ind w:left="426"/>
        <w:jc w:val="both"/>
        <w:rPr>
          <w:rFonts w:asciiTheme="majorBidi" w:hAnsiTheme="majorBidi" w:cstheme="majorBidi"/>
          <w:sz w:val="20"/>
          <w:szCs w:val="20"/>
        </w:rPr>
      </w:pPr>
      <w:r w:rsidRPr="009B1CC8">
        <w:rPr>
          <w:rFonts w:asciiTheme="majorBidi" w:hAnsiTheme="majorBidi" w:cstheme="majorBidi"/>
          <w:sz w:val="20"/>
          <w:szCs w:val="20"/>
        </w:rPr>
        <w:t>4 Research Center for prevention of cardiovascular disease, Institute of Endocrinology and Metabolism, Iran University of Medical Sciences (IUMS), Tehran, Iran.</w:t>
      </w:r>
    </w:p>
    <w:p w:rsidR="006D0980" w:rsidRPr="009B1CC8" w:rsidRDefault="006D0980" w:rsidP="006D0980">
      <w:pPr>
        <w:jc w:val="both"/>
        <w:rPr>
          <w:rFonts w:asciiTheme="majorBidi" w:hAnsiTheme="majorBidi" w:cstheme="majorBidi"/>
          <w:sz w:val="20"/>
          <w:szCs w:val="20"/>
        </w:rPr>
      </w:pPr>
    </w:p>
    <w:p w:rsidR="008C3ACE" w:rsidRDefault="008C3ACE">
      <w:pPr>
        <w:sectPr w:rsidR="008C3ACE">
          <w:type w:val="continuous"/>
          <w:pgSz w:w="11910" w:h="16840"/>
          <w:pgMar w:top="600" w:right="180" w:bottom="280" w:left="140" w:header="720" w:footer="720" w:gutter="0"/>
          <w:cols w:space="720"/>
        </w:sectPr>
      </w:pPr>
    </w:p>
    <w:p w:rsidR="006605CC" w:rsidRDefault="006605CC" w:rsidP="006605CC">
      <w:pPr>
        <w:adjustRightInd w:val="0"/>
        <w:ind w:left="426"/>
        <w:jc w:val="both"/>
        <w:rPr>
          <w:color w:val="585858"/>
          <w:sz w:val="20"/>
          <w:szCs w:val="20"/>
        </w:rPr>
      </w:pPr>
    </w:p>
    <w:p w:rsidR="006605CC" w:rsidRPr="006605CC" w:rsidRDefault="00B5063E" w:rsidP="006D0980">
      <w:pPr>
        <w:adjustRightInd w:val="0"/>
        <w:ind w:left="426"/>
        <w:jc w:val="both"/>
        <w:rPr>
          <w:rFonts w:asciiTheme="majorBidi" w:hAnsiTheme="majorBidi" w:cstheme="majorBidi"/>
          <w:b/>
          <w:bCs/>
          <w:sz w:val="20"/>
          <w:szCs w:val="20"/>
        </w:rPr>
      </w:pPr>
      <w:r w:rsidRPr="006605CC">
        <w:rPr>
          <w:color w:val="585858"/>
          <w:sz w:val="20"/>
          <w:szCs w:val="20"/>
        </w:rPr>
        <w:t xml:space="preserve">Keywords: </w:t>
      </w:r>
      <w:r w:rsidR="006D0980" w:rsidRPr="009B1CC8">
        <w:rPr>
          <w:rFonts w:asciiTheme="majorBidi" w:hAnsiTheme="majorBidi" w:cstheme="majorBidi"/>
          <w:sz w:val="20"/>
          <w:szCs w:val="20"/>
        </w:rPr>
        <w:t>Perinatal Outcomes; Postnatal; Umbilical Coiling Index; Gestational Diabetes Mellitus.</w:t>
      </w:r>
    </w:p>
    <w:p w:rsidR="008C3ACE" w:rsidRDefault="008C3ACE" w:rsidP="006605CC">
      <w:pPr>
        <w:pStyle w:val="Heading3"/>
        <w:spacing w:before="114"/>
        <w:ind w:left="426" w:right="9" w:firstLine="0"/>
        <w:jc w:val="both"/>
        <w:rPr>
          <w:b w:val="0"/>
          <w:sz w:val="20"/>
        </w:rPr>
      </w:pPr>
    </w:p>
    <w:p w:rsidR="008C3ACE" w:rsidRDefault="008C3ACE">
      <w:pPr>
        <w:pStyle w:val="BodyText"/>
        <w:spacing w:before="10"/>
        <w:rPr>
          <w:b/>
        </w:rPr>
      </w:pPr>
    </w:p>
    <w:p w:rsidR="00A61552" w:rsidRPr="00A61552" w:rsidRDefault="00B5063E" w:rsidP="00551ED3">
      <w:pPr>
        <w:pStyle w:val="ListParagraph"/>
        <w:numPr>
          <w:ilvl w:val="0"/>
          <w:numId w:val="1"/>
        </w:numPr>
        <w:tabs>
          <w:tab w:val="left" w:pos="1866"/>
          <w:tab w:val="left" w:pos="1867"/>
        </w:tabs>
        <w:ind w:left="426" w:firstLine="0"/>
        <w:jc w:val="both"/>
        <w:rPr>
          <w:rFonts w:asciiTheme="majorBidi" w:hAnsiTheme="majorBidi" w:cstheme="majorBidi"/>
          <w:sz w:val="20"/>
          <w:szCs w:val="20"/>
        </w:rPr>
      </w:pPr>
      <w:r w:rsidRPr="00A61552">
        <w:rPr>
          <w:b/>
          <w:color w:val="585858"/>
          <w:sz w:val="19"/>
        </w:rPr>
        <w:t xml:space="preserve">Abstract Body </w:t>
      </w:r>
    </w:p>
    <w:p w:rsidR="00551ED3" w:rsidRPr="00A61552" w:rsidRDefault="00551ED3" w:rsidP="00A61552">
      <w:pPr>
        <w:pStyle w:val="ListParagraph"/>
        <w:tabs>
          <w:tab w:val="left" w:pos="1866"/>
          <w:tab w:val="left" w:pos="1867"/>
        </w:tabs>
        <w:ind w:left="426" w:firstLine="0"/>
        <w:jc w:val="both"/>
        <w:rPr>
          <w:rFonts w:asciiTheme="majorBidi" w:hAnsiTheme="majorBidi" w:cstheme="majorBidi"/>
          <w:sz w:val="20"/>
          <w:szCs w:val="20"/>
        </w:rPr>
      </w:pPr>
      <w:r w:rsidRPr="00A61552">
        <w:rPr>
          <w:rFonts w:asciiTheme="majorBidi" w:hAnsiTheme="majorBidi" w:cstheme="majorBidi"/>
          <w:b/>
          <w:bCs/>
          <w:sz w:val="20"/>
          <w:szCs w:val="20"/>
        </w:rPr>
        <w:t xml:space="preserve">Background: </w:t>
      </w:r>
      <w:r w:rsidRPr="00A61552">
        <w:rPr>
          <w:rFonts w:asciiTheme="majorBidi" w:hAnsiTheme="majorBidi" w:cstheme="majorBidi"/>
          <w:sz w:val="20"/>
          <w:szCs w:val="20"/>
        </w:rPr>
        <w:t>The objective of this study was to identify the relationship between the postnatal umbilical coiling index (pUCI), and intrapartum and neonatal outcomes comparing in parturients with gestational diabetes mellitus (GDM) and non-GDM.</w:t>
      </w:r>
      <w:r w:rsidRPr="00A61552">
        <w:rPr>
          <w:rFonts w:asciiTheme="majorBidi" w:hAnsiTheme="majorBidi" w:cstheme="majorBidi"/>
          <w:sz w:val="20"/>
          <w:szCs w:val="20"/>
        </w:rPr>
        <w:t xml:space="preserve"> </w:t>
      </w:r>
      <w:r w:rsidRPr="00A61552">
        <w:rPr>
          <w:rFonts w:asciiTheme="majorBidi" w:hAnsiTheme="majorBidi" w:cstheme="majorBidi"/>
          <w:b/>
          <w:bCs/>
          <w:sz w:val="20"/>
          <w:szCs w:val="20"/>
        </w:rPr>
        <w:t xml:space="preserve">Methods: </w:t>
      </w:r>
      <w:r w:rsidRPr="00A61552">
        <w:rPr>
          <w:rFonts w:asciiTheme="majorBidi" w:hAnsiTheme="majorBidi" w:cstheme="majorBidi"/>
          <w:sz w:val="20"/>
          <w:szCs w:val="20"/>
        </w:rPr>
        <w:t>In this prospective cohort study, we analyzed the data obtained from a longitudinal cohort of parturients comprising GDM and non-GDM pregnancies from the 18</w:t>
      </w:r>
      <w:r w:rsidRPr="00A61552">
        <w:rPr>
          <w:rFonts w:asciiTheme="majorBidi" w:hAnsiTheme="majorBidi" w:cstheme="majorBidi"/>
          <w:sz w:val="20"/>
          <w:szCs w:val="20"/>
          <w:vertAlign w:val="superscript"/>
        </w:rPr>
        <w:t xml:space="preserve">th </w:t>
      </w:r>
      <w:r w:rsidRPr="00A61552">
        <w:rPr>
          <w:rFonts w:asciiTheme="majorBidi" w:hAnsiTheme="majorBidi" w:cstheme="majorBidi"/>
          <w:sz w:val="20"/>
          <w:szCs w:val="20"/>
        </w:rPr>
        <w:t>of April, 2015 to the 8</w:t>
      </w:r>
      <w:r w:rsidRPr="00A61552">
        <w:rPr>
          <w:rFonts w:asciiTheme="majorBidi" w:hAnsiTheme="majorBidi" w:cstheme="majorBidi"/>
          <w:sz w:val="20"/>
          <w:szCs w:val="20"/>
          <w:vertAlign w:val="superscript"/>
        </w:rPr>
        <w:t>th</w:t>
      </w:r>
      <w:r w:rsidRPr="00A61552">
        <w:rPr>
          <w:rFonts w:asciiTheme="majorBidi" w:hAnsiTheme="majorBidi" w:cstheme="majorBidi"/>
          <w:sz w:val="20"/>
          <w:szCs w:val="20"/>
        </w:rPr>
        <w:t xml:space="preserve"> of November, 2016.</w:t>
      </w:r>
      <w:r w:rsidRPr="00A61552">
        <w:rPr>
          <w:rFonts w:asciiTheme="majorBidi" w:hAnsiTheme="majorBidi" w:cstheme="majorBidi"/>
          <w:sz w:val="20"/>
          <w:szCs w:val="20"/>
        </w:rPr>
        <w:t xml:space="preserve"> </w:t>
      </w:r>
      <w:r w:rsidRPr="00A61552">
        <w:rPr>
          <w:rFonts w:asciiTheme="majorBidi" w:hAnsiTheme="majorBidi" w:cstheme="majorBidi"/>
          <w:sz w:val="20"/>
          <w:szCs w:val="20"/>
        </w:rPr>
        <w:t xml:space="preserve">The study was performed on 310 consecutive and unselected singleton parturients. They were followed till delivery and postpartum period. An evaluation of the umbilical cords and pUCI of 117 neonates of GDM and 105 of non-GDM parturients were prospectively studied within 1-2 days after delivery. </w:t>
      </w:r>
      <w:r w:rsidRPr="00A61552">
        <w:rPr>
          <w:rFonts w:asciiTheme="majorBidi" w:hAnsiTheme="majorBidi" w:cstheme="majorBidi"/>
          <w:sz w:val="20"/>
          <w:szCs w:val="20"/>
        </w:rPr>
        <w:t xml:space="preserve"> </w:t>
      </w:r>
      <w:r w:rsidRPr="00A61552">
        <w:rPr>
          <w:rFonts w:asciiTheme="majorBidi" w:hAnsiTheme="majorBidi" w:cstheme="majorBidi"/>
          <w:b/>
          <w:bCs/>
          <w:sz w:val="20"/>
          <w:szCs w:val="20"/>
        </w:rPr>
        <w:t xml:space="preserve">Results: </w:t>
      </w:r>
      <w:r w:rsidRPr="00A61552">
        <w:rPr>
          <w:rFonts w:asciiTheme="majorBidi" w:hAnsiTheme="majorBidi" w:cstheme="majorBidi"/>
          <w:sz w:val="20"/>
          <w:szCs w:val="20"/>
        </w:rPr>
        <w:t xml:space="preserve">In the GDM group, the pUCI mean was significantly higher for those who were large for gestational </w:t>
      </w:r>
      <w:proofErr w:type="gramStart"/>
      <w:r w:rsidRPr="00A61552">
        <w:rPr>
          <w:rFonts w:asciiTheme="majorBidi" w:hAnsiTheme="majorBidi" w:cstheme="majorBidi"/>
          <w:sz w:val="20"/>
          <w:szCs w:val="20"/>
        </w:rPr>
        <w:t>age(</w:t>
      </w:r>
      <w:proofErr w:type="gramEnd"/>
      <w:r w:rsidRPr="00A61552">
        <w:rPr>
          <w:rFonts w:asciiTheme="majorBidi" w:hAnsiTheme="majorBidi" w:cstheme="majorBidi"/>
          <w:sz w:val="20"/>
          <w:szCs w:val="20"/>
        </w:rPr>
        <w:t>LGA) and meconium-stained amniotic fluid (MSAF).</w:t>
      </w:r>
      <w:r w:rsidRPr="00A61552">
        <w:rPr>
          <w:rFonts w:asciiTheme="majorBidi" w:hAnsiTheme="majorBidi" w:cstheme="majorBidi"/>
          <w:sz w:val="20"/>
          <w:szCs w:val="20"/>
        </w:rPr>
        <w:t xml:space="preserve"> </w:t>
      </w:r>
      <w:r w:rsidRPr="00A61552">
        <w:rPr>
          <w:rFonts w:asciiTheme="majorBidi" w:hAnsiTheme="majorBidi" w:cstheme="majorBidi"/>
          <w:sz w:val="20"/>
          <w:szCs w:val="20"/>
        </w:rPr>
        <w:t xml:space="preserve">By 0.2 unit increment of pUCI value in the GDM group, the risk of LGA and MSAF </w:t>
      </w:r>
      <w:proofErr w:type="gramStart"/>
      <w:r w:rsidRPr="00A61552">
        <w:rPr>
          <w:rFonts w:asciiTheme="majorBidi" w:hAnsiTheme="majorBidi" w:cstheme="majorBidi"/>
          <w:sz w:val="20"/>
          <w:szCs w:val="20"/>
        </w:rPr>
        <w:t>were(</w:t>
      </w:r>
      <w:proofErr w:type="gramEnd"/>
      <w:r w:rsidRPr="00A61552">
        <w:rPr>
          <w:rFonts w:asciiTheme="majorBidi" w:hAnsiTheme="majorBidi" w:cstheme="majorBidi"/>
          <w:sz w:val="20"/>
          <w:szCs w:val="20"/>
        </w:rPr>
        <w:t>OR=2.12,[95% CI= 0.91-4.93])(P-value= 0.08) and (OR=1.84,[95% CI = 0.81-4.19])(P-value= 0.14) folds.</w:t>
      </w:r>
      <w:r w:rsidRPr="00A61552">
        <w:rPr>
          <w:rFonts w:asciiTheme="majorBidi" w:hAnsiTheme="majorBidi" w:cstheme="majorBidi"/>
          <w:sz w:val="20"/>
          <w:szCs w:val="20"/>
        </w:rPr>
        <w:t xml:space="preserve"> </w:t>
      </w:r>
      <w:r w:rsidRPr="00A61552">
        <w:rPr>
          <w:rFonts w:asciiTheme="majorBidi" w:hAnsiTheme="majorBidi" w:cstheme="majorBidi"/>
          <w:sz w:val="20"/>
          <w:szCs w:val="20"/>
        </w:rPr>
        <w:t xml:space="preserve">After adjustment for pUCI, the chance of spontaneous preterm delivery, PROM, emergency cesarean delivery, duration of hospital admission and congenital malformations for GDM group were 3.98, 3.40, 2.48, 3.99 and 2.83 times, in comparison with non-GDM group, respectively. </w:t>
      </w:r>
      <w:r w:rsidRPr="00A61552">
        <w:rPr>
          <w:rFonts w:asciiTheme="majorBidi" w:hAnsiTheme="majorBidi" w:cstheme="majorBidi"/>
          <w:sz w:val="20"/>
          <w:szCs w:val="20"/>
        </w:rPr>
        <w:t xml:space="preserve"> </w:t>
      </w:r>
      <w:r w:rsidRPr="00A61552">
        <w:rPr>
          <w:rFonts w:asciiTheme="majorBidi" w:hAnsiTheme="majorBidi" w:cstheme="majorBidi"/>
          <w:sz w:val="20"/>
          <w:szCs w:val="20"/>
        </w:rPr>
        <w:t xml:space="preserve">On the other hand, 0.2 unit increment of pUCI value was associated with spontaneous preterm </w:t>
      </w:r>
      <w:proofErr w:type="gramStart"/>
      <w:r w:rsidRPr="00A61552">
        <w:rPr>
          <w:rFonts w:asciiTheme="majorBidi" w:hAnsiTheme="majorBidi" w:cstheme="majorBidi"/>
          <w:sz w:val="20"/>
          <w:szCs w:val="20"/>
        </w:rPr>
        <w:t>delivery(</w:t>
      </w:r>
      <w:proofErr w:type="gramEnd"/>
      <w:r w:rsidRPr="00A61552">
        <w:rPr>
          <w:rFonts w:asciiTheme="majorBidi" w:hAnsiTheme="majorBidi" w:cstheme="majorBidi"/>
          <w:sz w:val="20"/>
          <w:szCs w:val="20"/>
        </w:rPr>
        <w:t xml:space="preserve">OR= 2.33). </w:t>
      </w:r>
      <w:r w:rsidRPr="00A61552">
        <w:rPr>
          <w:rFonts w:asciiTheme="majorBidi" w:hAnsiTheme="majorBidi" w:cstheme="majorBidi"/>
          <w:b/>
          <w:bCs/>
          <w:sz w:val="20"/>
          <w:szCs w:val="20"/>
        </w:rPr>
        <w:t xml:space="preserve">Conclusions: </w:t>
      </w:r>
      <w:r w:rsidRPr="00A61552">
        <w:rPr>
          <w:rFonts w:asciiTheme="majorBidi" w:hAnsiTheme="majorBidi" w:cstheme="majorBidi"/>
          <w:sz w:val="20"/>
          <w:szCs w:val="20"/>
        </w:rPr>
        <w:t xml:space="preserve"> It is concluded that an increased pUCI can enhance the rates of spontaneous preterm delivery in the normal and GDM-complicated pregnancies, as well as LGA and MSAF rates in GDM.</w:t>
      </w:r>
    </w:p>
    <w:p w:rsidR="006605CC" w:rsidRPr="006605CC" w:rsidRDefault="006605CC" w:rsidP="006605CC">
      <w:pPr>
        <w:pStyle w:val="ListParagraph"/>
        <w:ind w:left="567" w:firstLine="0"/>
        <w:jc w:val="both"/>
        <w:rPr>
          <w:rFonts w:asciiTheme="majorBidi" w:hAnsiTheme="majorBidi" w:cstheme="majorBidi"/>
          <w:sz w:val="24"/>
          <w:szCs w:val="24"/>
        </w:rPr>
      </w:pPr>
    </w:p>
    <w:p w:rsidR="008C3ACE" w:rsidRDefault="008C3ACE" w:rsidP="006605CC">
      <w:pPr>
        <w:pStyle w:val="BodyText"/>
        <w:spacing w:before="2"/>
      </w:pPr>
    </w:p>
    <w:p w:rsidR="008C3ACE" w:rsidRDefault="008C3ACE" w:rsidP="00C860D3">
      <w:pPr>
        <w:pStyle w:val="BodyText"/>
        <w:ind w:left="1238"/>
        <w:rPr>
          <w:sz w:val="20"/>
        </w:rPr>
      </w:pPr>
    </w:p>
    <w:p w:rsidR="006605CC" w:rsidRPr="006605CC" w:rsidRDefault="00B5063E" w:rsidP="006605CC">
      <w:pPr>
        <w:pStyle w:val="ListParagraph"/>
        <w:tabs>
          <w:tab w:val="left" w:pos="1758"/>
        </w:tabs>
        <w:spacing w:before="92"/>
        <w:ind w:firstLine="0"/>
        <w:jc w:val="right"/>
        <w:rPr>
          <w:b/>
          <w:sz w:val="19"/>
        </w:rPr>
      </w:pPr>
      <w:r>
        <w:rPr>
          <w:b/>
          <w:color w:val="585858"/>
          <w:w w:val="99"/>
          <w:sz w:val="19"/>
        </w:rPr>
        <w:br w:type="column"/>
      </w:r>
    </w:p>
    <w:p w:rsidR="006605CC" w:rsidRPr="006605CC" w:rsidRDefault="006605CC" w:rsidP="006605CC">
      <w:pPr>
        <w:pStyle w:val="ListParagraph"/>
        <w:tabs>
          <w:tab w:val="left" w:pos="1758"/>
        </w:tabs>
        <w:spacing w:before="92"/>
        <w:ind w:firstLine="0"/>
        <w:jc w:val="right"/>
        <w:rPr>
          <w:b/>
          <w:sz w:val="19"/>
        </w:rPr>
      </w:pPr>
    </w:p>
    <w:p w:rsidR="006605CC" w:rsidRPr="006605CC" w:rsidRDefault="006605CC" w:rsidP="006605CC">
      <w:pPr>
        <w:pStyle w:val="ListParagraph"/>
        <w:tabs>
          <w:tab w:val="left" w:pos="1758"/>
        </w:tabs>
        <w:spacing w:before="92"/>
        <w:ind w:firstLine="0"/>
        <w:jc w:val="right"/>
        <w:rPr>
          <w:b/>
          <w:sz w:val="19"/>
        </w:rPr>
      </w:pPr>
    </w:p>
    <w:p w:rsidR="008C3ACE" w:rsidRDefault="00B5063E">
      <w:pPr>
        <w:pStyle w:val="ListParagraph"/>
        <w:numPr>
          <w:ilvl w:val="0"/>
          <w:numId w:val="1"/>
        </w:numPr>
        <w:tabs>
          <w:tab w:val="left" w:pos="1758"/>
        </w:tabs>
        <w:spacing w:before="92"/>
        <w:ind w:left="1757"/>
        <w:jc w:val="left"/>
        <w:rPr>
          <w:b/>
          <w:sz w:val="19"/>
        </w:rPr>
      </w:pPr>
      <w:r>
        <w:rPr>
          <w:b/>
          <w:color w:val="585858"/>
          <w:sz w:val="19"/>
        </w:rPr>
        <w:t>Reference:</w:t>
      </w:r>
    </w:p>
    <w:p w:rsidR="008C3ACE" w:rsidRDefault="008C3ACE">
      <w:pPr>
        <w:pStyle w:val="BodyText"/>
        <w:spacing w:before="9"/>
        <w:rPr>
          <w:b/>
          <w:sz w:val="18"/>
        </w:rPr>
      </w:pPr>
    </w:p>
    <w:p w:rsidR="006D0980" w:rsidRPr="006D0980" w:rsidRDefault="006D0980" w:rsidP="006D0980">
      <w:pPr>
        <w:pStyle w:val="EndNoteBibliography"/>
        <w:numPr>
          <w:ilvl w:val="0"/>
          <w:numId w:val="3"/>
        </w:numPr>
        <w:spacing w:after="0"/>
        <w:jc w:val="both"/>
        <w:rPr>
          <w:rFonts w:asciiTheme="majorBidi" w:hAnsiTheme="majorBidi" w:cstheme="majorBidi"/>
          <w:sz w:val="20"/>
          <w:szCs w:val="20"/>
        </w:rPr>
      </w:pPr>
      <w:r w:rsidRPr="006D0980">
        <w:rPr>
          <w:rFonts w:asciiTheme="majorBidi" w:hAnsiTheme="majorBidi" w:cstheme="majorBidi"/>
          <w:sz w:val="20"/>
          <w:szCs w:val="20"/>
        </w:rPr>
        <w:t>Chitra T, Sushanth Y, Raghavan S. Umbilical coiling index as a marker of perinatal outcome: an analytical study. Obstetrics and gynecology international. 2012;2012.</w:t>
      </w:r>
    </w:p>
    <w:p w:rsidR="006D0980" w:rsidRPr="006D0980" w:rsidRDefault="006D0980" w:rsidP="006D0980">
      <w:pPr>
        <w:pStyle w:val="BodyText"/>
        <w:numPr>
          <w:ilvl w:val="0"/>
          <w:numId w:val="3"/>
        </w:numPr>
        <w:spacing w:before="2"/>
        <w:jc w:val="both"/>
        <w:rPr>
          <w:rFonts w:asciiTheme="majorBidi" w:hAnsiTheme="majorBidi" w:cstheme="majorBidi"/>
          <w:sz w:val="20"/>
          <w:szCs w:val="20"/>
        </w:rPr>
      </w:pPr>
      <w:r w:rsidRPr="006D0980">
        <w:rPr>
          <w:rFonts w:asciiTheme="majorBidi" w:hAnsiTheme="majorBidi" w:cstheme="majorBidi"/>
          <w:sz w:val="20"/>
          <w:szCs w:val="20"/>
        </w:rPr>
        <w:t>Campbell IW, Duncan C, Urquhart R, Evans M. Placental dysfunction and stillbirth in gestational diabetes mellitus. The British Journal of Diabetes &amp; Vascular Disease. 2009</w:t>
      </w:r>
      <w:proofErr w:type="gramStart"/>
      <w:r w:rsidRPr="006D0980">
        <w:rPr>
          <w:rFonts w:asciiTheme="majorBidi" w:hAnsiTheme="majorBidi" w:cstheme="majorBidi"/>
          <w:sz w:val="20"/>
          <w:szCs w:val="20"/>
        </w:rPr>
        <w:t>;9</w:t>
      </w:r>
      <w:proofErr w:type="gramEnd"/>
      <w:r w:rsidRPr="006D0980">
        <w:rPr>
          <w:rFonts w:asciiTheme="majorBidi" w:hAnsiTheme="majorBidi" w:cstheme="majorBidi"/>
          <w:sz w:val="20"/>
          <w:szCs w:val="20"/>
        </w:rPr>
        <w:t>(1):38-40.</w:t>
      </w:r>
    </w:p>
    <w:p w:rsidR="006D0980" w:rsidRPr="006D0980" w:rsidRDefault="006D0980" w:rsidP="006D0980">
      <w:pPr>
        <w:pStyle w:val="EndNoteBibliography"/>
        <w:numPr>
          <w:ilvl w:val="0"/>
          <w:numId w:val="3"/>
        </w:numPr>
        <w:spacing w:after="0"/>
        <w:jc w:val="both"/>
        <w:rPr>
          <w:rFonts w:asciiTheme="majorBidi" w:hAnsiTheme="majorBidi" w:cstheme="majorBidi"/>
          <w:sz w:val="20"/>
          <w:szCs w:val="20"/>
        </w:rPr>
      </w:pPr>
      <w:r w:rsidRPr="006D0980">
        <w:rPr>
          <w:rFonts w:asciiTheme="majorBidi" w:hAnsiTheme="majorBidi" w:cstheme="majorBidi"/>
          <w:sz w:val="20"/>
          <w:szCs w:val="20"/>
        </w:rPr>
        <w:t>Ogunlaja I, Aiyeyemi J, Fasoranti O, Ogunlaja O, Adegoke A. Correlation between placenta and umbilical cord morphplogy and perinatal outcome in singleton deliveries at term in a Nigerian tertiary health centre. Tropical Journal of Obstetrics and Gynaecology. 2015;32(1):96-103.</w:t>
      </w:r>
    </w:p>
    <w:p w:rsidR="006605CC" w:rsidRPr="006605CC" w:rsidRDefault="006605CC" w:rsidP="006605CC">
      <w:pPr>
        <w:pStyle w:val="EndNoteBibliography"/>
        <w:spacing w:after="0"/>
        <w:ind w:left="927"/>
        <w:rPr>
          <w:rFonts w:asciiTheme="majorBidi" w:hAnsiTheme="majorBidi" w:cstheme="majorBidi"/>
          <w:sz w:val="20"/>
          <w:szCs w:val="20"/>
        </w:rPr>
      </w:pPr>
    </w:p>
    <w:p w:rsidR="008C3ACE" w:rsidRDefault="00B5063E">
      <w:pPr>
        <w:pStyle w:val="Heading3"/>
        <w:numPr>
          <w:ilvl w:val="0"/>
          <w:numId w:val="1"/>
        </w:numPr>
        <w:tabs>
          <w:tab w:val="left" w:pos="1758"/>
        </w:tabs>
        <w:ind w:left="1757"/>
        <w:jc w:val="left"/>
      </w:pPr>
      <w:bookmarkStart w:id="0" w:name="_GoBack"/>
      <w:bookmarkEnd w:id="0"/>
      <w:r>
        <w:rPr>
          <w:color w:val="585858"/>
        </w:rPr>
        <w:t>Biography:</w:t>
      </w:r>
    </w:p>
    <w:p w:rsidR="008C3ACE" w:rsidRDefault="00C860D3" w:rsidP="006605CC">
      <w:pPr>
        <w:pStyle w:val="BodyText"/>
        <w:spacing w:before="1"/>
        <w:ind w:left="567"/>
        <w:jc w:val="both"/>
      </w:pPr>
      <w:r w:rsidRPr="007B1DF1">
        <w:t>Laily Najafi</w:t>
      </w:r>
      <w:r>
        <w:t xml:space="preserve"> is a student of PhD by research in clinical diabetes in Iran </w:t>
      </w:r>
      <w:proofErr w:type="gramStart"/>
      <w:r>
        <w:t>university</w:t>
      </w:r>
      <w:proofErr w:type="gramEnd"/>
      <w:r>
        <w:t xml:space="preserve"> of medical sciences. I have completed the general physician at the age of 26 years from Shiraz University of medical sciences. I have published more than 20 papers in reputed journals.</w:t>
      </w:r>
      <w:r>
        <w:br/>
      </w:r>
    </w:p>
    <w:p w:rsidR="008C3ACE" w:rsidRPr="00C860D3"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C860D3" w:rsidRDefault="00C860D3" w:rsidP="00C860D3">
      <w:pPr>
        <w:pStyle w:val="Heading3"/>
        <w:tabs>
          <w:tab w:val="left" w:pos="1757"/>
          <w:tab w:val="left" w:pos="1758"/>
        </w:tabs>
        <w:spacing w:before="1"/>
        <w:ind w:firstLine="0"/>
        <w:jc w:val="right"/>
      </w:pPr>
    </w:p>
    <w:p w:rsidR="008C3ACE" w:rsidRDefault="00C860D3" w:rsidP="006605CC">
      <w:pPr>
        <w:pStyle w:val="BodyText"/>
        <w:spacing w:before="7"/>
        <w:ind w:left="567"/>
        <w:rPr>
          <w:b/>
          <w:sz w:val="15"/>
        </w:rPr>
      </w:pPr>
      <w:r>
        <w:rPr>
          <w:noProof/>
        </w:rPr>
        <w:drawing>
          <wp:inline distT="0" distB="0" distL="0" distR="0" wp14:anchorId="0F093A5C" wp14:editId="70109FD4">
            <wp:extent cx="763325" cy="6679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764485" cy="668925"/>
                    </a:xfrm>
                    <a:prstGeom prst="rect">
                      <a:avLst/>
                    </a:prstGeom>
                  </pic:spPr>
                </pic:pic>
              </a:graphicData>
            </a:graphic>
          </wp:inline>
        </w:drawing>
      </w:r>
    </w:p>
    <w:p w:rsidR="008C3ACE" w:rsidRDefault="00140BB6" w:rsidP="006605CC">
      <w:pPr>
        <w:pStyle w:val="BodyText"/>
        <w:spacing w:before="172"/>
        <w:ind w:left="567" w:right="4143"/>
      </w:pPr>
      <w:r>
        <w:rPr>
          <w:color w:val="585858"/>
        </w:rPr>
        <w:t>Laily Najafi</w:t>
      </w:r>
      <w:r w:rsidR="00B5063E">
        <w:rPr>
          <w:color w:val="585858"/>
        </w:rPr>
        <w:t xml:space="preserve"> </w:t>
      </w:r>
      <w:r>
        <w:rPr>
          <w:color w:val="585858"/>
        </w:rPr>
        <w:t>00989171134995</w:t>
      </w:r>
      <w:r w:rsidR="00B5063E">
        <w:rPr>
          <w:color w:val="585858"/>
        </w:rPr>
        <w:t xml:space="preserve"> </w:t>
      </w:r>
      <w:r w:rsidR="00C860D3">
        <w:rPr>
          <w:color w:val="585858"/>
        </w:rPr>
        <w:t>Laily Najafi Maternal Fetal Medicine</w:t>
      </w:r>
    </w:p>
    <w:p w:rsidR="00140BB6" w:rsidRDefault="00B5063E" w:rsidP="00A61552">
      <w:pPr>
        <w:pStyle w:val="BodyText"/>
        <w:ind w:left="567" w:right="1786"/>
        <w:rPr>
          <w:color w:val="585858"/>
        </w:rPr>
      </w:pPr>
      <w:r>
        <w:rPr>
          <w:color w:val="585858"/>
        </w:rPr>
        <w:t>Category: (</w:t>
      </w:r>
      <w:r w:rsidR="00A61552">
        <w:rPr>
          <w:color w:val="585858"/>
        </w:rPr>
        <w:t>Young scientist award</w:t>
      </w:r>
      <w:r>
        <w:rPr>
          <w:color w:val="585858"/>
        </w:rPr>
        <w:t xml:space="preserve">) </w:t>
      </w:r>
    </w:p>
    <w:p w:rsidR="008C3ACE" w:rsidRDefault="00140BB6" w:rsidP="006605CC">
      <w:pPr>
        <w:pStyle w:val="BodyText"/>
        <w:ind w:left="567" w:right="1786"/>
        <w:rPr>
          <w:sz w:val="18"/>
        </w:rPr>
      </w:pPr>
      <w:r>
        <w:rPr>
          <w:color w:val="585858"/>
        </w:rPr>
        <w:t>N41059353</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8C3ACE">
      <w:pPr>
        <w:pStyle w:val="BodyText"/>
        <w:rPr>
          <w:sz w:val="20"/>
        </w:rPr>
      </w:pPr>
    </w:p>
    <w:p w:rsidR="001A3AE1" w:rsidRPr="001A3AE1" w:rsidRDefault="001A3AE1" w:rsidP="001A3AE1">
      <w:pPr>
        <w:pStyle w:val="BodyText"/>
        <w:spacing w:line="55" w:lineRule="exact"/>
        <w:rPr>
          <w:sz w:val="5"/>
        </w:rPr>
      </w:pPr>
    </w:p>
    <w:p w:rsidR="00B5063E" w:rsidRPr="001A3AE1" w:rsidRDefault="001A3AE1" w:rsidP="001A3AE1">
      <w:pPr>
        <w:tabs>
          <w:tab w:val="left" w:pos="4946"/>
        </w:tabs>
      </w:pPr>
      <w:r>
        <w:tab/>
      </w:r>
      <w:r>
        <w:rPr>
          <w:noProof/>
        </w:rPr>
        <w:drawing>
          <wp:inline distT="0" distB="0" distL="0" distR="0">
            <wp:extent cx="7359650" cy="956274"/>
            <wp:effectExtent l="0" t="0" r="0" b="0"/>
            <wp:docPr id="8" name="Picture 8" descr="C:\Users\gynecology-minl\Desktop\Gynecology 2019\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ecology-minl\Desktop\Gynecology 2019\Foote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0E16B81"/>
    <w:multiLevelType w:val="hybridMultilevel"/>
    <w:tmpl w:val="2286CA24"/>
    <w:lvl w:ilvl="0" w:tplc="D902DF40">
      <w:start w:val="1"/>
      <w:numFmt w:val="decimal"/>
      <w:lvlText w:val="%1."/>
      <w:lvlJc w:val="left"/>
      <w:pPr>
        <w:ind w:left="927" w:hanging="360"/>
      </w:pPr>
      <w:rPr>
        <w:rFonts w:ascii="Calibri" w:hAnsi="Calibri" w:cs="Calibri" w:hint="default"/>
        <w:color w:val="585858"/>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40BB6"/>
    <w:rsid w:val="001A3AE1"/>
    <w:rsid w:val="001D10CF"/>
    <w:rsid w:val="004B51DB"/>
    <w:rsid w:val="00551ED3"/>
    <w:rsid w:val="0058095B"/>
    <w:rsid w:val="00605747"/>
    <w:rsid w:val="006605CC"/>
    <w:rsid w:val="00677986"/>
    <w:rsid w:val="006D0980"/>
    <w:rsid w:val="0087363E"/>
    <w:rsid w:val="008C3ACE"/>
    <w:rsid w:val="00935715"/>
    <w:rsid w:val="009F3FAE"/>
    <w:rsid w:val="00A11783"/>
    <w:rsid w:val="00A61552"/>
    <w:rsid w:val="00B5063E"/>
    <w:rsid w:val="00BD0A1F"/>
    <w:rsid w:val="00BF55A2"/>
    <w:rsid w:val="00C0276C"/>
    <w:rsid w:val="00C860D3"/>
    <w:rsid w:val="00D13B33"/>
    <w:rsid w:val="00DD0ED4"/>
    <w:rsid w:val="00EC4830"/>
    <w:rsid w:val="00F277CD"/>
    <w:rsid w:val="00FE13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paragraph" w:customStyle="1" w:styleId="EndNoteBibliography">
    <w:name w:val="EndNote Bibliography"/>
    <w:basedOn w:val="Normal"/>
    <w:link w:val="EndNoteBibliographyChar"/>
    <w:rsid w:val="006605CC"/>
    <w:pPr>
      <w:widowControl/>
      <w:autoSpaceDE/>
      <w:autoSpaceDN/>
      <w:spacing w:after="200"/>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6605CC"/>
    <w:rPr>
      <w:rFonts w:ascii="Calibri"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paragraph" w:customStyle="1" w:styleId="EndNoteBibliography">
    <w:name w:val="EndNote Bibliography"/>
    <w:basedOn w:val="Normal"/>
    <w:link w:val="EndNoteBibliographyChar"/>
    <w:rsid w:val="006605CC"/>
    <w:pPr>
      <w:widowControl/>
      <w:autoSpaceDE/>
      <w:autoSpaceDN/>
      <w:spacing w:after="200"/>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6605CC"/>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708335">
      <w:bodyDiv w:val="1"/>
      <w:marLeft w:val="0"/>
      <w:marRight w:val="0"/>
      <w:marTop w:val="0"/>
      <w:marBottom w:val="0"/>
      <w:divBdr>
        <w:top w:val="none" w:sz="0" w:space="0" w:color="auto"/>
        <w:left w:val="none" w:sz="0" w:space="0" w:color="auto"/>
        <w:bottom w:val="none" w:sz="0" w:space="0" w:color="auto"/>
        <w:right w:val="none" w:sz="0" w:space="0" w:color="auto"/>
      </w:divBdr>
      <w:divsChild>
        <w:div w:id="483356259">
          <w:marLeft w:val="0"/>
          <w:marRight w:val="0"/>
          <w:marTop w:val="0"/>
          <w:marBottom w:val="0"/>
          <w:divBdr>
            <w:top w:val="none" w:sz="0" w:space="0" w:color="auto"/>
            <w:left w:val="none" w:sz="0" w:space="0" w:color="auto"/>
            <w:bottom w:val="none" w:sz="0" w:space="0" w:color="auto"/>
            <w:right w:val="none" w:sz="0" w:space="0" w:color="auto"/>
          </w:divBdr>
        </w:div>
        <w:div w:id="2109544999">
          <w:marLeft w:val="0"/>
          <w:marRight w:val="0"/>
          <w:marTop w:val="0"/>
          <w:marBottom w:val="0"/>
          <w:divBdr>
            <w:top w:val="none" w:sz="0" w:space="0" w:color="auto"/>
            <w:left w:val="none" w:sz="0" w:space="0" w:color="auto"/>
            <w:bottom w:val="none" w:sz="0" w:space="0" w:color="auto"/>
            <w:right w:val="none" w:sz="0" w:space="0" w:color="auto"/>
          </w:divBdr>
          <w:divsChild>
            <w:div w:id="1047071481">
              <w:marLeft w:val="0"/>
              <w:marRight w:val="0"/>
              <w:marTop w:val="0"/>
              <w:marBottom w:val="0"/>
              <w:divBdr>
                <w:top w:val="none" w:sz="0" w:space="0" w:color="auto"/>
                <w:left w:val="none" w:sz="0" w:space="0" w:color="auto"/>
                <w:bottom w:val="none" w:sz="0" w:space="0" w:color="auto"/>
                <w:right w:val="none" w:sz="0" w:space="0" w:color="auto"/>
              </w:divBdr>
              <w:divsChild>
                <w:div w:id="4221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dr-najafi</cp:lastModifiedBy>
  <cp:revision>8</cp:revision>
  <dcterms:created xsi:type="dcterms:W3CDTF">2019-01-06T07:01:00Z</dcterms:created>
  <dcterms:modified xsi:type="dcterms:W3CDTF">2019-01-07T08:12:00Z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