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1A3AE1">
      <w:pPr>
        <w:pStyle w:val="BodyText"/>
        <w:spacing w:before="5"/>
        <w:rPr>
          <w:sz w:val="10"/>
        </w:rPr>
      </w:pPr>
      <w:r>
        <w:rPr>
          <w:noProof/>
          <w:sz w:val="10"/>
        </w:rPr>
        <w:drawing>
          <wp:inline distT="0" distB="0" distL="0" distR="0">
            <wp:extent cx="7359650" cy="953816"/>
            <wp:effectExtent l="0" t="0" r="0" b="0"/>
            <wp:docPr id="1" name="Picture 1" descr="C:\Users\gynecology-minl\Desktop\Gynecology 2019\gynacology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ecology-minl\Desktop\Gynecology 2019\gynacology 2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Default="00605747" w:rsidP="00140BB6">
      <w:pPr>
        <w:pStyle w:val="Heading1"/>
        <w:ind w:left="1105" w:right="106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ED6DF9C" wp14:editId="644D0D08">
                <wp:simplePos x="0" y="0"/>
                <wp:positionH relativeFrom="page">
                  <wp:posOffset>173990</wp:posOffset>
                </wp:positionH>
                <wp:positionV relativeFrom="paragraph">
                  <wp:posOffset>110490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7pt,8.7pt" to="580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" strokecolor="#548dd4 [1951]" strokeweight="2pt">
                <w10:wrap type="topAndBottom" anchorx="page"/>
              </v:line>
            </w:pict>
          </mc:Fallback>
        </mc:AlternateContent>
      </w:r>
      <w:r w:rsidR="00B5063E">
        <w:rPr>
          <w:color w:val="585858"/>
          <w:u w:val="thick" w:color="585858"/>
        </w:rPr>
        <w:t xml:space="preserve">Abstract </w:t>
      </w:r>
    </w:p>
    <w:p w:rsidR="008C3ACE" w:rsidRDefault="008C3ACE">
      <w:pPr>
        <w:pStyle w:val="BodyText"/>
        <w:rPr>
          <w:b/>
          <w:sz w:val="14"/>
        </w:rPr>
      </w:pPr>
    </w:p>
    <w:p w:rsidR="006605CC" w:rsidRDefault="006605CC" w:rsidP="006605CC">
      <w:pPr>
        <w:spacing w:line="480" w:lineRule="auto"/>
        <w:jc w:val="both"/>
        <w:rPr>
          <w:rFonts w:asciiTheme="majorBidi" w:hAnsiTheme="majorBidi" w:cs="B Mitra"/>
          <w:b/>
          <w:bCs/>
          <w:sz w:val="24"/>
          <w:szCs w:val="24"/>
          <w:lang w:bidi="fa-IR"/>
        </w:rPr>
      </w:pPr>
      <w:r>
        <w:rPr>
          <w:b/>
          <w:color w:val="585858"/>
        </w:rPr>
        <w:t xml:space="preserve">        </w:t>
      </w:r>
      <w:r w:rsidR="00B5063E">
        <w:rPr>
          <w:b/>
          <w:color w:val="585858"/>
        </w:rPr>
        <w:t xml:space="preserve">Title: </w:t>
      </w:r>
      <w:r>
        <w:rPr>
          <w:rFonts w:asciiTheme="majorBidi" w:hAnsiTheme="majorBidi" w:cs="B Mitra"/>
          <w:b/>
          <w:bCs/>
          <w:sz w:val="24"/>
          <w:szCs w:val="24"/>
          <w:lang w:bidi="fa-IR"/>
        </w:rPr>
        <w:t>P</w:t>
      </w:r>
      <w:r w:rsidRPr="00313CC2">
        <w:rPr>
          <w:rFonts w:asciiTheme="majorBidi" w:hAnsiTheme="majorBidi" w:cs="B Mitra"/>
          <w:b/>
          <w:bCs/>
          <w:sz w:val="24"/>
          <w:szCs w:val="24"/>
          <w:lang w:bidi="fa-IR"/>
        </w:rPr>
        <w:t xml:space="preserve">ostnatal </w:t>
      </w:r>
      <w:r>
        <w:rPr>
          <w:rFonts w:asciiTheme="majorBidi" w:hAnsiTheme="majorBidi" w:cs="B Mitra"/>
          <w:b/>
          <w:bCs/>
          <w:sz w:val="24"/>
          <w:szCs w:val="24"/>
          <w:lang w:bidi="fa-IR"/>
        </w:rPr>
        <w:t xml:space="preserve">umbilical </w:t>
      </w:r>
      <w:r w:rsidRPr="00313CC2">
        <w:rPr>
          <w:rFonts w:asciiTheme="majorBidi" w:hAnsiTheme="majorBidi" w:cs="B Mitra"/>
          <w:b/>
          <w:bCs/>
          <w:sz w:val="24"/>
          <w:szCs w:val="24"/>
          <w:lang w:bidi="fa-IR"/>
        </w:rPr>
        <w:t xml:space="preserve">coiling </w:t>
      </w:r>
      <w:r>
        <w:rPr>
          <w:rFonts w:asciiTheme="majorBidi" w:hAnsiTheme="majorBidi" w:cs="B Mitra"/>
          <w:b/>
          <w:bCs/>
          <w:sz w:val="24"/>
          <w:szCs w:val="24"/>
          <w:lang w:bidi="fa-IR"/>
        </w:rPr>
        <w:t xml:space="preserve">index </w:t>
      </w:r>
      <w:r w:rsidRPr="00313CC2">
        <w:rPr>
          <w:rFonts w:asciiTheme="majorBidi" w:hAnsiTheme="majorBidi" w:cs="B Mitra"/>
          <w:b/>
          <w:bCs/>
          <w:sz w:val="24"/>
          <w:szCs w:val="24"/>
          <w:lang w:bidi="fa-IR"/>
        </w:rPr>
        <w:t>abnormal</w:t>
      </w:r>
      <w:r>
        <w:rPr>
          <w:rFonts w:asciiTheme="majorBidi" w:hAnsiTheme="majorBidi" w:cs="B Mitra"/>
          <w:b/>
          <w:bCs/>
          <w:sz w:val="24"/>
          <w:szCs w:val="24"/>
          <w:lang w:bidi="fa-IR"/>
        </w:rPr>
        <w:t xml:space="preserve">ity &amp; </w:t>
      </w:r>
      <w:r w:rsidRPr="00313CC2">
        <w:rPr>
          <w:rFonts w:asciiTheme="majorBidi" w:hAnsiTheme="majorBidi" w:cs="B Mitra"/>
          <w:b/>
          <w:bCs/>
          <w:sz w:val="24"/>
          <w:szCs w:val="24"/>
          <w:lang w:bidi="fa-IR"/>
        </w:rPr>
        <w:t>gestational diabetes mellitus</w:t>
      </w:r>
      <w:r>
        <w:rPr>
          <w:rFonts w:asciiTheme="majorBidi" w:hAnsiTheme="majorBidi" w:cs="B Mitra"/>
          <w:b/>
          <w:bCs/>
          <w:sz w:val="24"/>
          <w:szCs w:val="24"/>
          <w:lang w:bidi="fa-IR"/>
        </w:rPr>
        <w:t xml:space="preserve"> </w:t>
      </w:r>
    </w:p>
    <w:p w:rsidR="006605CC" w:rsidRDefault="006605CC" w:rsidP="006605CC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="B Mitra"/>
          <w:b/>
          <w:bCs/>
          <w:sz w:val="24"/>
          <w:szCs w:val="24"/>
          <w:lang w:bidi="fa-IR"/>
        </w:rPr>
        <w:t xml:space="preserve">        </w:t>
      </w:r>
      <w:r w:rsidRPr="000659E2">
        <w:rPr>
          <w:rFonts w:asciiTheme="majorBidi" w:hAnsiTheme="majorBidi" w:cstheme="majorBidi"/>
        </w:rPr>
        <w:t>Laily Najafi</w:t>
      </w:r>
      <w:r w:rsidRPr="000659E2">
        <w:rPr>
          <w:rFonts w:asciiTheme="majorBidi" w:hAnsiTheme="majorBidi" w:cstheme="majorBidi"/>
          <w:vertAlign w:val="superscript"/>
        </w:rPr>
        <w:t>1</w:t>
      </w:r>
      <w:r w:rsidRPr="000659E2">
        <w:rPr>
          <w:rFonts w:asciiTheme="majorBidi" w:hAnsiTheme="majorBidi" w:cstheme="majorBidi"/>
        </w:rPr>
        <w:t>, Mojtaba Malek</w:t>
      </w:r>
      <w:r w:rsidRPr="000659E2"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, </w:t>
      </w:r>
      <w:proofErr w:type="spellStart"/>
      <w:r w:rsidRPr="000659E2">
        <w:rPr>
          <w:rFonts w:asciiTheme="majorBidi" w:hAnsiTheme="majorBidi" w:cstheme="majorBidi"/>
        </w:rPr>
        <w:t>Azadeh</w:t>
      </w:r>
      <w:proofErr w:type="spellEnd"/>
      <w:r w:rsidRPr="000659E2">
        <w:rPr>
          <w:rFonts w:asciiTheme="majorBidi" w:hAnsiTheme="majorBidi" w:cstheme="majorBidi"/>
        </w:rPr>
        <w:t xml:space="preserve"> Abedini</w:t>
      </w:r>
      <w:r w:rsidRPr="000659E2">
        <w:rPr>
          <w:rFonts w:asciiTheme="majorBidi" w:hAnsiTheme="majorBidi" w:cstheme="majorBidi"/>
          <w:vertAlign w:val="superscript"/>
        </w:rPr>
        <w:t>3</w:t>
      </w:r>
      <w:r w:rsidRPr="000659E2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</w:t>
      </w:r>
      <w:r w:rsidRPr="005C2AC8">
        <w:rPr>
          <w:rFonts w:asciiTheme="majorBidi" w:hAnsiTheme="majorBidi" w:cstheme="majorBidi"/>
        </w:rPr>
        <w:t>Maryam Kadivar</w:t>
      </w:r>
      <w:r w:rsidRPr="000659E2">
        <w:rPr>
          <w:rFonts w:asciiTheme="majorBidi" w:hAnsiTheme="majorBidi" w:cstheme="majorBidi"/>
          <w:vertAlign w:val="superscript"/>
        </w:rPr>
        <w:t>4</w:t>
      </w:r>
      <w:r w:rsidRPr="000659E2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</w:t>
      </w:r>
      <w:r w:rsidRPr="000659E2">
        <w:rPr>
          <w:rFonts w:asciiTheme="majorBidi" w:hAnsiTheme="majorBidi" w:cstheme="majorBidi"/>
        </w:rPr>
        <w:t>Mohammad E. Khamseh</w:t>
      </w:r>
      <w:r w:rsidRPr="000659E2">
        <w:rPr>
          <w:rFonts w:asciiTheme="majorBidi" w:hAnsiTheme="majorBidi" w:cstheme="majorBidi"/>
          <w:vertAlign w:val="superscript"/>
        </w:rPr>
        <w:t>1</w:t>
      </w:r>
    </w:p>
    <w:p w:rsidR="006605CC" w:rsidRPr="006605CC" w:rsidRDefault="006605CC" w:rsidP="006605CC">
      <w:pPr>
        <w:ind w:left="426"/>
        <w:jc w:val="both"/>
        <w:rPr>
          <w:rFonts w:asciiTheme="majorBidi" w:hAnsiTheme="majorBidi" w:cstheme="majorBidi"/>
          <w:sz w:val="20"/>
          <w:szCs w:val="20"/>
        </w:rPr>
      </w:pPr>
      <w:r w:rsidRPr="006605CC">
        <w:rPr>
          <w:rFonts w:asciiTheme="majorBidi" w:hAnsiTheme="majorBidi" w:cstheme="majorBidi"/>
          <w:sz w:val="20"/>
          <w:szCs w:val="20"/>
          <w:vertAlign w:val="superscript"/>
        </w:rPr>
        <w:t xml:space="preserve">1 </w:t>
      </w:r>
      <w:r w:rsidRPr="006605CC">
        <w:rPr>
          <w:rFonts w:asciiTheme="majorBidi" w:hAnsiTheme="majorBidi" w:cstheme="majorBidi"/>
          <w:sz w:val="20"/>
          <w:szCs w:val="20"/>
        </w:rPr>
        <w:t>Endocrine Research Center, Institute of Endocrinology and Metabolism, Iran University of Medical Sciences (IUMS), Tehran, Iran.</w:t>
      </w:r>
    </w:p>
    <w:p w:rsidR="006605CC" w:rsidRPr="006605CC" w:rsidRDefault="006605CC" w:rsidP="006605CC">
      <w:pPr>
        <w:ind w:left="426"/>
        <w:jc w:val="both"/>
        <w:rPr>
          <w:rFonts w:asciiTheme="majorBidi" w:hAnsiTheme="majorBidi" w:cstheme="majorBidi"/>
          <w:sz w:val="20"/>
          <w:szCs w:val="20"/>
        </w:rPr>
      </w:pPr>
      <w:r w:rsidRPr="006605CC">
        <w:rPr>
          <w:rFonts w:asciiTheme="majorBidi" w:hAnsiTheme="majorBidi" w:cstheme="majorBidi"/>
          <w:sz w:val="20"/>
          <w:szCs w:val="20"/>
          <w:vertAlign w:val="superscript"/>
        </w:rPr>
        <w:t xml:space="preserve">2 </w:t>
      </w:r>
      <w:r w:rsidRPr="006605CC">
        <w:rPr>
          <w:rFonts w:asciiTheme="majorBidi" w:hAnsiTheme="majorBidi" w:cstheme="majorBidi"/>
          <w:sz w:val="20"/>
          <w:szCs w:val="20"/>
        </w:rPr>
        <w:t>Research Center for prevention of cardiovascular disease, Institute of Endocrinology and Metabolism, Iran University of Medical Sciences (IUMS), Tehran, Iran.</w:t>
      </w:r>
    </w:p>
    <w:p w:rsidR="006605CC" w:rsidRPr="006605CC" w:rsidRDefault="006605CC" w:rsidP="006605CC">
      <w:pPr>
        <w:ind w:left="426"/>
        <w:jc w:val="both"/>
        <w:rPr>
          <w:rFonts w:asciiTheme="majorBidi" w:hAnsiTheme="majorBidi" w:cstheme="majorBidi"/>
          <w:sz w:val="20"/>
          <w:szCs w:val="20"/>
        </w:rPr>
      </w:pPr>
      <w:r w:rsidRPr="006605CC">
        <w:rPr>
          <w:rFonts w:asciiTheme="majorBidi" w:hAnsiTheme="majorBidi" w:cstheme="majorBidi"/>
          <w:sz w:val="20"/>
          <w:szCs w:val="20"/>
          <w:vertAlign w:val="superscript"/>
        </w:rPr>
        <w:t xml:space="preserve">3 </w:t>
      </w:r>
      <w:r w:rsidRPr="006605CC">
        <w:rPr>
          <w:rFonts w:asciiTheme="majorBidi" w:hAnsiTheme="majorBidi" w:cstheme="majorBidi"/>
          <w:sz w:val="20"/>
          <w:szCs w:val="20"/>
        </w:rPr>
        <w:t xml:space="preserve">Kamali Teaching </w:t>
      </w:r>
      <w:proofErr w:type="gramStart"/>
      <w:r w:rsidRPr="006605CC">
        <w:rPr>
          <w:rFonts w:asciiTheme="majorBidi" w:hAnsiTheme="majorBidi" w:cstheme="majorBidi"/>
          <w:sz w:val="20"/>
          <w:szCs w:val="20"/>
        </w:rPr>
        <w:t>hospital</w:t>
      </w:r>
      <w:proofErr w:type="gramEnd"/>
      <w:r w:rsidRPr="006605CC">
        <w:rPr>
          <w:rFonts w:asciiTheme="majorBidi" w:hAnsiTheme="majorBidi" w:cstheme="majorBidi"/>
          <w:sz w:val="20"/>
          <w:szCs w:val="20"/>
        </w:rPr>
        <w:t>, Alborz University of medical sciences, Karaj, Iran.</w:t>
      </w:r>
    </w:p>
    <w:p w:rsidR="006605CC" w:rsidRDefault="006605CC" w:rsidP="006605CC">
      <w:pPr>
        <w:ind w:left="426"/>
        <w:jc w:val="both"/>
        <w:rPr>
          <w:rFonts w:asciiTheme="majorBidi" w:hAnsiTheme="majorBidi" w:cstheme="majorBidi"/>
        </w:rPr>
      </w:pPr>
      <w:r w:rsidRPr="006605CC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Pr="006605CC">
        <w:rPr>
          <w:rFonts w:asciiTheme="majorBidi" w:hAnsiTheme="majorBidi" w:cstheme="majorBidi"/>
          <w:sz w:val="20"/>
          <w:szCs w:val="20"/>
        </w:rPr>
        <w:t>Department of Pathology, Hazrat-e- Rasool Akram General hospital, Iran University of Medical Sciences (IUMS), Tehran, Iran.</w:t>
      </w: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6605CC" w:rsidRDefault="006605CC" w:rsidP="006605CC">
      <w:pPr>
        <w:adjustRightInd w:val="0"/>
        <w:ind w:left="426"/>
        <w:jc w:val="both"/>
        <w:rPr>
          <w:color w:val="585858"/>
          <w:sz w:val="20"/>
          <w:szCs w:val="20"/>
        </w:rPr>
      </w:pPr>
    </w:p>
    <w:p w:rsidR="006605CC" w:rsidRPr="006605CC" w:rsidRDefault="00B5063E" w:rsidP="006605CC">
      <w:pPr>
        <w:adjustRightInd w:val="0"/>
        <w:ind w:left="426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6605CC">
        <w:rPr>
          <w:color w:val="585858"/>
          <w:sz w:val="20"/>
          <w:szCs w:val="20"/>
        </w:rPr>
        <w:t xml:space="preserve">Keywords: </w:t>
      </w:r>
      <w:r w:rsidR="006605CC" w:rsidRPr="006605CC">
        <w:rPr>
          <w:rFonts w:asciiTheme="majorBidi" w:hAnsiTheme="majorBidi" w:cstheme="majorBidi"/>
          <w:sz w:val="20"/>
          <w:szCs w:val="20"/>
        </w:rPr>
        <w:t>Antenatal; Diagnostic Accuracy Study</w:t>
      </w:r>
      <w:r w:rsidR="006605CC" w:rsidRPr="006605CC">
        <w:rPr>
          <w:rFonts w:asciiTheme="majorBidi" w:hAnsiTheme="majorBidi" w:cs="B Mitra"/>
          <w:sz w:val="20"/>
          <w:szCs w:val="20"/>
          <w:lang w:bidi="fa-IR"/>
        </w:rPr>
        <w:t>; Gestational</w:t>
      </w:r>
      <w:r w:rsidR="006605CC" w:rsidRPr="006605CC">
        <w:rPr>
          <w:rFonts w:asciiTheme="majorBidi" w:hAnsiTheme="majorBidi" w:cstheme="majorBidi"/>
          <w:sz w:val="20"/>
          <w:szCs w:val="20"/>
        </w:rPr>
        <w:t xml:space="preserve"> Diabetes Mellitus; </w:t>
      </w:r>
      <w:r w:rsidR="006605CC" w:rsidRPr="006605CC">
        <w:rPr>
          <w:rFonts w:asciiTheme="majorBidi" w:hAnsiTheme="majorBidi" w:cs="B Mitra"/>
          <w:sz w:val="20"/>
          <w:szCs w:val="20"/>
          <w:lang w:bidi="fa-IR"/>
        </w:rPr>
        <w:t>Postnatal; Umbilical Coiling Index</w:t>
      </w:r>
      <w:r w:rsidR="006605CC" w:rsidRPr="006605CC">
        <w:rPr>
          <w:rFonts w:asciiTheme="majorBidi" w:hAnsiTheme="majorBidi" w:cstheme="majorBidi"/>
          <w:sz w:val="20"/>
          <w:szCs w:val="20"/>
        </w:rPr>
        <w:t>.</w:t>
      </w:r>
      <w:r w:rsidR="006605CC" w:rsidRPr="006605CC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</w:p>
    <w:p w:rsidR="008C3ACE" w:rsidRDefault="008C3ACE" w:rsidP="006605CC">
      <w:pPr>
        <w:pStyle w:val="Heading3"/>
        <w:spacing w:before="114"/>
        <w:ind w:left="426" w:right="9" w:firstLine="0"/>
        <w:jc w:val="both"/>
        <w:rPr>
          <w:b w:val="0"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6605CC" w:rsidRPr="006605CC" w:rsidRDefault="006605CC" w:rsidP="006605CC">
      <w:pPr>
        <w:pStyle w:val="ListParagraph"/>
        <w:ind w:left="567" w:firstLine="0"/>
        <w:jc w:val="both"/>
        <w:rPr>
          <w:rFonts w:asciiTheme="majorBidi" w:hAnsiTheme="majorBidi" w:cstheme="majorBidi"/>
          <w:sz w:val="24"/>
          <w:szCs w:val="24"/>
        </w:rPr>
      </w:pPr>
      <w:r w:rsidRPr="006605CC">
        <w:rPr>
          <w:rFonts w:asciiTheme="majorBidi" w:hAnsiTheme="majorBidi" w:cstheme="majorBidi"/>
          <w:b/>
          <w:bCs/>
          <w:sz w:val="24"/>
          <w:szCs w:val="24"/>
        </w:rPr>
        <w:t xml:space="preserve">Aims: </w:t>
      </w:r>
      <w:r w:rsidRPr="006605CC">
        <w:rPr>
          <w:rFonts w:asciiTheme="majorBidi" w:hAnsiTheme="majorBidi" w:cstheme="majorBidi"/>
          <w:sz w:val="24"/>
          <w:szCs w:val="24"/>
          <w:lang w:bidi="fa-IR"/>
        </w:rPr>
        <w:t xml:space="preserve">Umbilical coiling index (UCI) abnormalities could be associated with adverse prenatal outcomes. So </w:t>
      </w:r>
      <w:r w:rsidRPr="006605CC">
        <w:rPr>
          <w:rFonts w:asciiTheme="majorBidi" w:hAnsiTheme="majorBidi" w:cstheme="majorBidi"/>
          <w:sz w:val="24"/>
          <w:szCs w:val="24"/>
        </w:rPr>
        <w:t>antenatal evaluations, as screening modality for detection of these abnormalities and prediction of postnatal umbilical coiling index got useful to select pregnancies for intensified fetal monitoring in gestational diabetes mellitus (</w:t>
      </w:r>
      <w:r w:rsidRPr="006605CC">
        <w:rPr>
          <w:rFonts w:asciiTheme="majorBidi" w:hAnsiTheme="majorBidi" w:cstheme="majorBidi"/>
          <w:sz w:val="24"/>
          <w:szCs w:val="24"/>
          <w:lang w:bidi="fa-IR"/>
        </w:rPr>
        <w:t xml:space="preserve">GDM) compared with </w:t>
      </w:r>
      <w:r w:rsidRPr="006605CC">
        <w:rPr>
          <w:rFonts w:asciiTheme="majorBidi" w:hAnsiTheme="majorBidi" w:cstheme="majorBidi"/>
          <w:sz w:val="24"/>
          <w:szCs w:val="24"/>
        </w:rPr>
        <w:t>normal pregnancy.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605CC">
        <w:rPr>
          <w:rFonts w:asciiTheme="majorBidi" w:hAnsiTheme="majorBidi" w:cstheme="majorBidi"/>
          <w:b/>
          <w:bCs/>
          <w:sz w:val="24"/>
          <w:szCs w:val="24"/>
        </w:rPr>
        <w:t xml:space="preserve">Method: </w:t>
      </w:r>
      <w:r w:rsidRPr="006605CC">
        <w:rPr>
          <w:rFonts w:asciiTheme="majorBidi" w:hAnsiTheme="majorBidi" w:cstheme="majorBidi"/>
          <w:sz w:val="24"/>
          <w:szCs w:val="24"/>
        </w:rPr>
        <w:t>In this prospective study, 222 women recruited; (105 normal, and 117 GDM). U</w:t>
      </w:r>
      <w:r w:rsidRPr="006605CC">
        <w:rPr>
          <w:rFonts w:asciiTheme="majorBidi" w:hAnsiTheme="majorBidi" w:cstheme="majorBidi"/>
        </w:rPr>
        <w:t>ltrasound scan of umbilical cord was performed at 2</w:t>
      </w:r>
      <w:r w:rsidRPr="006605CC">
        <w:rPr>
          <w:rFonts w:asciiTheme="majorBidi" w:hAnsiTheme="majorBidi" w:cstheme="majorBidi"/>
          <w:vertAlign w:val="superscript"/>
        </w:rPr>
        <w:t>nd</w:t>
      </w:r>
      <w:r w:rsidRPr="006605CC">
        <w:rPr>
          <w:rFonts w:asciiTheme="majorBidi" w:hAnsiTheme="majorBidi" w:cstheme="majorBidi"/>
        </w:rPr>
        <w:t xml:space="preserve"> and 3</w:t>
      </w:r>
      <w:r w:rsidRPr="006605CC">
        <w:rPr>
          <w:rFonts w:asciiTheme="majorBidi" w:hAnsiTheme="majorBidi" w:cstheme="majorBidi"/>
          <w:vertAlign w:val="superscript"/>
        </w:rPr>
        <w:t>rd</w:t>
      </w:r>
      <w:r w:rsidRPr="006605CC">
        <w:rPr>
          <w:rFonts w:asciiTheme="majorBidi" w:hAnsiTheme="majorBidi" w:cstheme="majorBidi"/>
        </w:rPr>
        <w:t xml:space="preserve"> trimesters.</w:t>
      </w:r>
      <w:r w:rsidRPr="006605CC">
        <w:rPr>
          <w:rFonts w:asciiTheme="majorBidi" w:hAnsiTheme="majorBidi" w:cstheme="majorBidi"/>
          <w:sz w:val="24"/>
          <w:szCs w:val="24"/>
        </w:rPr>
        <w:t xml:space="preserve"> Evaluation of pUCI, as the reference standard, was performed within 1-2 days after delivery. </w:t>
      </w:r>
      <w:r w:rsidRPr="006605CC">
        <w:rPr>
          <w:rFonts w:asciiTheme="majorBidi" w:hAnsiTheme="majorBidi" w:cstheme="majorBidi"/>
          <w:b/>
          <w:bCs/>
          <w:sz w:val="24"/>
          <w:szCs w:val="24"/>
        </w:rPr>
        <w:t xml:space="preserve">Findings: </w:t>
      </w:r>
      <w:r w:rsidRPr="006605CC">
        <w:rPr>
          <w:rFonts w:asciiTheme="majorBidi" w:hAnsiTheme="majorBidi" w:cstheme="majorBidi"/>
          <w:sz w:val="24"/>
          <w:szCs w:val="24"/>
        </w:rPr>
        <w:t xml:space="preserve">The mean for pUCI was 0.21±0.12 in the GDM group, and 0.21±0.09 in the normal pregnancy (P=0.61). Postnatal UCI was more related to aUCI at 37-41 WG in both groups. In the GDM group, a significant association was found between aUCI and pUCI categories (P=0.004). The area under curve (AUC) was less than 0.5 for hypocoiling in both groups. For hypercoiling it was 0.84±0.05 in the GDM group and 0.84±0.04 in the normal pregnancy group (37-41 WG). In the GDM group the cut-off points that predict hypercoiling were 0.28 (18-23WG), and 0.21 (37-41WG). These were 0.35(18-23WG), and 0.33(37-41WG) in the normal pregnancy group. In the diagnostic accuracy analysis, the sensitivity of hypercoiling in GDM group in two antenatal evaluations was 0.94 and 0.89. </w:t>
      </w:r>
      <w:r w:rsidRPr="006605CC">
        <w:rPr>
          <w:rFonts w:asciiTheme="majorBidi" w:hAnsiTheme="majorBidi" w:cstheme="majorBidi"/>
          <w:b/>
          <w:bCs/>
          <w:sz w:val="24"/>
          <w:szCs w:val="24"/>
        </w:rPr>
        <w:t xml:space="preserve">Conclusions: </w:t>
      </w:r>
      <w:r w:rsidRPr="006605CC">
        <w:rPr>
          <w:rFonts w:asciiTheme="majorBidi" w:hAnsiTheme="majorBidi" w:cstheme="majorBidi"/>
          <w:sz w:val="24"/>
          <w:szCs w:val="24"/>
        </w:rPr>
        <w:t>Hypercoiling at the second and the third trimester could predict postnatal hypercoiling in normal pregnancy as well as pregnancies complicated by GDM. The cut-off point that predicts hypercoiling is 0.33 in normal pregnancy, and 0.21 in GDM.</w:t>
      </w:r>
    </w:p>
    <w:p w:rsidR="008C3ACE" w:rsidRDefault="008C3ACE" w:rsidP="006605CC">
      <w:pPr>
        <w:pStyle w:val="BodyText"/>
        <w:spacing w:before="2"/>
      </w:pPr>
    </w:p>
    <w:p w:rsidR="008C3ACE" w:rsidRDefault="008C3ACE" w:rsidP="00C860D3">
      <w:pPr>
        <w:pStyle w:val="BodyText"/>
        <w:ind w:left="1238"/>
        <w:rPr>
          <w:sz w:val="20"/>
        </w:rPr>
      </w:pPr>
    </w:p>
    <w:p w:rsidR="006605CC" w:rsidRPr="006605CC" w:rsidRDefault="00B5063E" w:rsidP="006605CC">
      <w:pPr>
        <w:pStyle w:val="ListParagraph"/>
        <w:tabs>
          <w:tab w:val="left" w:pos="1758"/>
        </w:tabs>
        <w:spacing w:before="92"/>
        <w:ind w:firstLine="0"/>
        <w:jc w:val="righ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</w:p>
    <w:p w:rsidR="006605CC" w:rsidRPr="006605CC" w:rsidRDefault="006605CC" w:rsidP="006605CC">
      <w:pPr>
        <w:pStyle w:val="ListParagraph"/>
        <w:tabs>
          <w:tab w:val="left" w:pos="1758"/>
        </w:tabs>
        <w:spacing w:before="92"/>
        <w:ind w:firstLine="0"/>
        <w:jc w:val="right"/>
        <w:rPr>
          <w:b/>
          <w:sz w:val="19"/>
        </w:rPr>
      </w:pPr>
    </w:p>
    <w:p w:rsidR="006605CC" w:rsidRPr="006605CC" w:rsidRDefault="006605CC" w:rsidP="006605CC">
      <w:pPr>
        <w:pStyle w:val="ListParagraph"/>
        <w:tabs>
          <w:tab w:val="left" w:pos="1758"/>
        </w:tabs>
        <w:spacing w:before="92"/>
        <w:ind w:firstLine="0"/>
        <w:jc w:val="right"/>
        <w:rPr>
          <w:b/>
          <w:sz w:val="19"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sz w:val="19"/>
        </w:rPr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6605CC" w:rsidRDefault="006605CC" w:rsidP="006605CC">
      <w:pPr>
        <w:pStyle w:val="EndNoteBibliography"/>
        <w:numPr>
          <w:ilvl w:val="0"/>
          <w:numId w:val="3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6605CC">
        <w:rPr>
          <w:rFonts w:asciiTheme="majorBidi" w:hAnsiTheme="majorBidi" w:cstheme="majorBidi"/>
          <w:sz w:val="20"/>
          <w:szCs w:val="20"/>
        </w:rPr>
        <w:t>Predanic M. Sonographic Assessment of the Umbilical Cord. Donald School Journal of Ultrasound in Obstetrics and Gynecology. 2009;3(2):48-57.</w:t>
      </w:r>
    </w:p>
    <w:p w:rsidR="006605CC" w:rsidRPr="006605CC" w:rsidRDefault="006605CC" w:rsidP="006605CC">
      <w:pPr>
        <w:pStyle w:val="EndNoteBibliography"/>
        <w:numPr>
          <w:ilvl w:val="0"/>
          <w:numId w:val="3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6605CC">
        <w:rPr>
          <w:rFonts w:asciiTheme="majorBidi" w:hAnsiTheme="majorBidi" w:cstheme="majorBidi"/>
          <w:sz w:val="20"/>
          <w:szCs w:val="20"/>
        </w:rPr>
        <w:t>Jessop F, Lees C, Pathak S, et al. Umbilical cord coiling: clinical outcomes in an unselected population and systematic review. Virchows Archiv. 2014;464(1):105-112.</w:t>
      </w:r>
    </w:p>
    <w:p w:rsidR="006605CC" w:rsidRPr="006605CC" w:rsidRDefault="006605CC" w:rsidP="006605CC">
      <w:pPr>
        <w:pStyle w:val="BodyText"/>
        <w:numPr>
          <w:ilvl w:val="0"/>
          <w:numId w:val="3"/>
        </w:numPr>
        <w:spacing w:before="2"/>
        <w:rPr>
          <w:rFonts w:asciiTheme="majorBidi" w:hAnsiTheme="majorBidi" w:cstheme="majorBidi"/>
          <w:sz w:val="20"/>
          <w:szCs w:val="20"/>
        </w:rPr>
      </w:pPr>
      <w:r w:rsidRPr="006605CC">
        <w:rPr>
          <w:rFonts w:asciiTheme="majorBidi" w:hAnsiTheme="majorBidi" w:cstheme="majorBidi"/>
          <w:sz w:val="20"/>
          <w:szCs w:val="20"/>
        </w:rPr>
        <w:t>Evans MJ. Review: Diabetes and pregnancy: a review of pathology. The British Journal of Diabetes &amp; Vascular Disease. 2009</w:t>
      </w:r>
      <w:proofErr w:type="gramStart"/>
      <w:r w:rsidRPr="006605CC">
        <w:rPr>
          <w:rFonts w:asciiTheme="majorBidi" w:hAnsiTheme="majorBidi" w:cstheme="majorBidi"/>
          <w:sz w:val="20"/>
          <w:szCs w:val="20"/>
        </w:rPr>
        <w:t>;9</w:t>
      </w:r>
      <w:proofErr w:type="gramEnd"/>
      <w:r w:rsidRPr="006605CC">
        <w:rPr>
          <w:rFonts w:asciiTheme="majorBidi" w:hAnsiTheme="majorBidi" w:cstheme="majorBidi"/>
          <w:sz w:val="20"/>
          <w:szCs w:val="20"/>
        </w:rPr>
        <w:t>(5):201-206.</w:t>
      </w:r>
    </w:p>
    <w:p w:rsidR="006605CC" w:rsidRPr="006605CC" w:rsidRDefault="006605CC" w:rsidP="006605CC">
      <w:pPr>
        <w:pStyle w:val="EndNoteBibliography"/>
        <w:spacing w:after="0"/>
        <w:ind w:left="927"/>
        <w:rPr>
          <w:rFonts w:asciiTheme="majorBidi" w:hAnsiTheme="majorBidi" w:cstheme="majorBidi"/>
          <w:sz w:val="20"/>
          <w:szCs w:val="20"/>
        </w:rPr>
      </w:pPr>
      <w:bookmarkStart w:id="0" w:name="_GoBack"/>
      <w:bookmarkEnd w:id="0"/>
    </w:p>
    <w:p w:rsidR="008C3ACE" w:rsidRPr="006605CC" w:rsidRDefault="008C3ACE" w:rsidP="006605CC">
      <w:pPr>
        <w:pStyle w:val="BodyText"/>
        <w:tabs>
          <w:tab w:val="left" w:pos="1037"/>
        </w:tabs>
        <w:ind w:left="567" w:right="696"/>
        <w:rPr>
          <w:rFonts w:asciiTheme="majorBidi" w:hAnsiTheme="majorBidi" w:cstheme="majorBidi"/>
          <w:sz w:val="20"/>
          <w:szCs w:val="20"/>
        </w:rPr>
      </w:pPr>
    </w:p>
    <w:p w:rsidR="008C3ACE" w:rsidRPr="006605CC" w:rsidRDefault="008C3ACE" w:rsidP="006605CC">
      <w:pPr>
        <w:pStyle w:val="BodyText"/>
        <w:ind w:left="567"/>
        <w:rPr>
          <w:rFonts w:asciiTheme="majorBidi" w:hAnsiTheme="majorBidi" w:cstheme="majorBidi"/>
          <w:sz w:val="20"/>
          <w:szCs w:val="20"/>
        </w:rPr>
      </w:pPr>
    </w:p>
    <w:p w:rsidR="006605CC" w:rsidRDefault="006605CC">
      <w:pPr>
        <w:pStyle w:val="BodyText"/>
        <w:spacing w:before="2"/>
      </w:pPr>
    </w:p>
    <w:p w:rsidR="006605CC" w:rsidRDefault="006605CC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C860D3" w:rsidP="006605CC">
      <w:pPr>
        <w:pStyle w:val="BodyText"/>
        <w:spacing w:before="1"/>
        <w:ind w:left="567"/>
        <w:jc w:val="both"/>
      </w:pPr>
      <w:r w:rsidRPr="007B1DF1">
        <w:t>Laily Najafi</w:t>
      </w:r>
      <w:r>
        <w:t xml:space="preserve"> is a student of PhD by research in clinical diabetes in Iran </w:t>
      </w:r>
      <w:proofErr w:type="gramStart"/>
      <w:r>
        <w:t>university</w:t>
      </w:r>
      <w:proofErr w:type="gramEnd"/>
      <w:r>
        <w:t xml:space="preserve"> of medical sciences. I have completed the general physician at the age of 26 years from Shiraz University of medical sciences. I have published more than 20 papers in reputed journals.</w:t>
      </w:r>
      <w:r>
        <w:br/>
      </w:r>
    </w:p>
    <w:p w:rsidR="008C3ACE" w:rsidRPr="00C860D3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C860D3" w:rsidRDefault="00C860D3" w:rsidP="00C860D3">
      <w:pPr>
        <w:pStyle w:val="Heading3"/>
        <w:tabs>
          <w:tab w:val="left" w:pos="1757"/>
          <w:tab w:val="left" w:pos="1758"/>
        </w:tabs>
        <w:spacing w:before="1"/>
        <w:ind w:firstLine="0"/>
        <w:jc w:val="right"/>
      </w:pPr>
    </w:p>
    <w:p w:rsidR="008C3ACE" w:rsidRDefault="00C860D3" w:rsidP="006605CC">
      <w:pPr>
        <w:pStyle w:val="BodyText"/>
        <w:spacing w:before="7"/>
        <w:ind w:left="567"/>
        <w:rPr>
          <w:b/>
          <w:sz w:val="15"/>
        </w:rPr>
      </w:pPr>
      <w:r>
        <w:rPr>
          <w:noProof/>
        </w:rPr>
        <w:drawing>
          <wp:inline distT="0" distB="0" distL="0" distR="0" wp14:anchorId="0F093A5C" wp14:editId="70109FD4">
            <wp:extent cx="763325" cy="6679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4485" cy="6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140BB6" w:rsidP="006605CC">
      <w:pPr>
        <w:pStyle w:val="BodyText"/>
        <w:spacing w:before="172"/>
        <w:ind w:left="567" w:right="4143"/>
      </w:pPr>
      <w:r>
        <w:rPr>
          <w:color w:val="585858"/>
        </w:rPr>
        <w:t>Laily Najafi</w:t>
      </w:r>
      <w:r w:rsidR="00B5063E">
        <w:rPr>
          <w:color w:val="585858"/>
        </w:rPr>
        <w:t xml:space="preserve"> </w:t>
      </w:r>
      <w:r>
        <w:rPr>
          <w:color w:val="585858"/>
        </w:rPr>
        <w:t>00989171134995</w:t>
      </w:r>
      <w:r w:rsidR="00B5063E">
        <w:rPr>
          <w:color w:val="585858"/>
        </w:rPr>
        <w:t xml:space="preserve"> </w:t>
      </w:r>
      <w:r w:rsidR="00C860D3">
        <w:rPr>
          <w:color w:val="585858"/>
        </w:rPr>
        <w:t>Laily Najafi Maternal Fetal Medicine</w:t>
      </w:r>
    </w:p>
    <w:p w:rsidR="00140BB6" w:rsidRDefault="00B5063E" w:rsidP="006605CC">
      <w:pPr>
        <w:pStyle w:val="BodyText"/>
        <w:ind w:left="567" w:right="1786"/>
        <w:rPr>
          <w:color w:val="585858"/>
        </w:rPr>
      </w:pPr>
      <w:r>
        <w:rPr>
          <w:color w:val="585858"/>
        </w:rPr>
        <w:t xml:space="preserve">Category: (Oral presentation) </w:t>
      </w:r>
    </w:p>
    <w:p w:rsidR="008C3ACE" w:rsidRDefault="00140BB6" w:rsidP="006605CC">
      <w:pPr>
        <w:pStyle w:val="BodyText"/>
        <w:ind w:left="567" w:right="1786"/>
        <w:rPr>
          <w:sz w:val="18"/>
        </w:rPr>
      </w:pPr>
      <w:r>
        <w:rPr>
          <w:color w:val="585858"/>
        </w:rPr>
        <w:t>N41059353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1A3AE1" w:rsidRPr="001A3AE1" w:rsidRDefault="001A3AE1" w:rsidP="001A3AE1">
      <w:pPr>
        <w:pStyle w:val="BodyText"/>
        <w:spacing w:line="55" w:lineRule="exact"/>
        <w:rPr>
          <w:sz w:val="5"/>
        </w:rPr>
      </w:pPr>
    </w:p>
    <w:p w:rsidR="00B5063E" w:rsidRPr="001A3AE1" w:rsidRDefault="001A3AE1" w:rsidP="001A3AE1">
      <w:pPr>
        <w:tabs>
          <w:tab w:val="left" w:pos="4946"/>
        </w:tabs>
      </w:pPr>
      <w:r>
        <w:tab/>
      </w:r>
      <w:r>
        <w:rPr>
          <w:noProof/>
        </w:rPr>
        <w:drawing>
          <wp:inline distT="0" distB="0" distL="0" distR="0">
            <wp:extent cx="7359650" cy="956274"/>
            <wp:effectExtent l="0" t="0" r="0" b="0"/>
            <wp:docPr id="8" name="Picture 8" descr="C:\Users\gynecology-minl\Desktop\Gynecology 2019\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ecology-minl\Desktop\Gynecology 2019\Foote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063E" w:rsidRPr="001A3AE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0E16B81"/>
    <w:multiLevelType w:val="hybridMultilevel"/>
    <w:tmpl w:val="2286CA24"/>
    <w:lvl w:ilvl="0" w:tplc="D902DF40">
      <w:start w:val="1"/>
      <w:numFmt w:val="decimal"/>
      <w:lvlText w:val="%1."/>
      <w:lvlJc w:val="left"/>
      <w:pPr>
        <w:ind w:left="927" w:hanging="360"/>
      </w:pPr>
      <w:rPr>
        <w:rFonts w:ascii="Calibri" w:hAnsi="Calibri" w:cs="Calibri" w:hint="default"/>
        <w:color w:val="585858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40BB6"/>
    <w:rsid w:val="001A3AE1"/>
    <w:rsid w:val="001D10CF"/>
    <w:rsid w:val="004B51DB"/>
    <w:rsid w:val="0058095B"/>
    <w:rsid w:val="00605747"/>
    <w:rsid w:val="006605CC"/>
    <w:rsid w:val="00677986"/>
    <w:rsid w:val="0087363E"/>
    <w:rsid w:val="008C3ACE"/>
    <w:rsid w:val="00935715"/>
    <w:rsid w:val="009F3FAE"/>
    <w:rsid w:val="00A11783"/>
    <w:rsid w:val="00B5063E"/>
    <w:rsid w:val="00BF55A2"/>
    <w:rsid w:val="00C0276C"/>
    <w:rsid w:val="00C860D3"/>
    <w:rsid w:val="00D13B33"/>
    <w:rsid w:val="00DD0ED4"/>
    <w:rsid w:val="00EC4830"/>
    <w:rsid w:val="00F277CD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34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6605CC"/>
    <w:pPr>
      <w:widowControl/>
      <w:autoSpaceDE/>
      <w:autoSpaceDN/>
      <w:spacing w:after="200"/>
    </w:pPr>
    <w:rPr>
      <w:rFonts w:ascii="Calibri" w:eastAsiaTheme="minorHAns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05CC"/>
    <w:rPr>
      <w:rFonts w:ascii="Calibri" w:hAnsi="Calibri" w:cs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34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6605CC"/>
    <w:pPr>
      <w:widowControl/>
      <w:autoSpaceDE/>
      <w:autoSpaceDN/>
      <w:spacing w:after="200"/>
    </w:pPr>
    <w:rPr>
      <w:rFonts w:ascii="Calibri" w:eastAsiaTheme="minorHAns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05CC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dr-najafi</cp:lastModifiedBy>
  <cp:revision>5</cp:revision>
  <dcterms:created xsi:type="dcterms:W3CDTF">2019-01-06T07:01:00Z</dcterms:created>
  <dcterms:modified xsi:type="dcterms:W3CDTF">2019-01-07T06:58:00Z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