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1A3AE1">
      <w:pPr>
        <w:pStyle w:val="BodyText"/>
        <w:spacing w:before="5"/>
        <w:rPr>
          <w:sz w:val="10"/>
        </w:rPr>
      </w:pPr>
      <w:r>
        <w:rPr>
          <w:noProof/>
          <w:sz w:val="10"/>
        </w:rPr>
        <w:drawing>
          <wp:inline distT="0" distB="0" distL="0" distR="0">
            <wp:extent cx="7359650" cy="953816"/>
            <wp:effectExtent l="0" t="0" r="0" b="0"/>
            <wp:docPr id="1" name="Picture 1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Pr="00F57991" w:rsidRDefault="00605747" w:rsidP="00140BB6">
      <w:pPr>
        <w:pStyle w:val="Heading1"/>
        <w:ind w:left="1105" w:right="1062"/>
        <w:jc w:val="center"/>
      </w:pPr>
      <w:r w:rsidRPr="00F57991"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EEA93DE" wp14:editId="6837A6FB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  <w:r w:rsidR="00B5063E" w:rsidRPr="00F57991">
        <w:rPr>
          <w:u w:val="thick" w:color="585858"/>
        </w:rPr>
        <w:t xml:space="preserve">Abstract </w:t>
      </w:r>
    </w:p>
    <w:p w:rsidR="008C3ACE" w:rsidRPr="00F57991" w:rsidRDefault="008C3ACE">
      <w:pPr>
        <w:pStyle w:val="BodyText"/>
        <w:rPr>
          <w:b/>
          <w:sz w:val="14"/>
        </w:rPr>
      </w:pPr>
    </w:p>
    <w:p w:rsidR="00F57991" w:rsidRPr="00590584" w:rsidRDefault="00F57991" w:rsidP="00F57991">
      <w:pPr>
        <w:jc w:val="both"/>
      </w:pPr>
      <w:r w:rsidRPr="00F57991">
        <w:rPr>
          <w:b/>
        </w:rPr>
        <w:t xml:space="preserve">         </w:t>
      </w:r>
      <w:r w:rsidR="00B5063E" w:rsidRPr="00F57991">
        <w:rPr>
          <w:b/>
        </w:rPr>
        <w:t xml:space="preserve">Title: </w:t>
      </w:r>
      <w:r w:rsidRPr="00590584">
        <w:t>Risk factors in gestational diabetes mellitus</w:t>
      </w:r>
    </w:p>
    <w:p w:rsidR="00F57991" w:rsidRDefault="00F57991">
      <w:pPr>
        <w:pStyle w:val="BodyText"/>
        <w:spacing w:before="126" w:line="231" w:lineRule="exact"/>
        <w:ind w:left="594"/>
        <w:rPr>
          <w:b/>
          <w:sz w:val="28"/>
          <w:szCs w:val="28"/>
        </w:rPr>
      </w:pPr>
      <w:r w:rsidRPr="00590584">
        <w:t>Laily Najafi</w:t>
      </w:r>
      <w:r w:rsidRPr="00590584">
        <w:rPr>
          <w:vertAlign w:val="superscript"/>
        </w:rPr>
        <w:t>1</w:t>
      </w:r>
      <w:r w:rsidRPr="00590584">
        <w:t>, Mojtaba Malek</w:t>
      </w:r>
      <w:r>
        <w:rPr>
          <w:vertAlign w:val="superscript"/>
        </w:rPr>
        <w:t>2</w:t>
      </w:r>
      <w:r w:rsidRPr="00590584">
        <w:t>, Mohammad E. Khamseh</w:t>
      </w:r>
      <w:r w:rsidRPr="00590584">
        <w:rPr>
          <w:vertAlign w:val="superscript"/>
        </w:rPr>
        <w:t>1</w:t>
      </w:r>
      <w:r w:rsidRPr="00590584">
        <w:t xml:space="preserve">, </w:t>
      </w:r>
      <w:proofErr w:type="spellStart"/>
      <w:r w:rsidRPr="00590584">
        <w:t>Azadeh</w:t>
      </w:r>
      <w:proofErr w:type="spellEnd"/>
      <w:r w:rsidRPr="00590584">
        <w:t xml:space="preserve"> </w:t>
      </w:r>
      <w:proofErr w:type="spellStart"/>
      <w:r w:rsidRPr="00590584">
        <w:t>Abedini</w:t>
      </w:r>
      <w:proofErr w:type="spellEnd"/>
      <w:r w:rsidRPr="00590584">
        <w:t xml:space="preserve"> MD</w:t>
      </w:r>
      <w:r>
        <w:rPr>
          <w:vertAlign w:val="superscript"/>
        </w:rPr>
        <w:t>3</w:t>
      </w:r>
      <w:r w:rsidRPr="00590584">
        <w:rPr>
          <w:b/>
          <w:sz w:val="28"/>
          <w:szCs w:val="28"/>
        </w:rPr>
        <w:t xml:space="preserve">                    </w:t>
      </w:r>
    </w:p>
    <w:p w:rsidR="00F57991" w:rsidRPr="00F57991" w:rsidRDefault="00F57991" w:rsidP="00F57991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1.Endocrine</w:t>
      </w:r>
      <w:proofErr w:type="gramEnd"/>
      <w:r w:rsidRPr="00F57991">
        <w:rPr>
          <w:sz w:val="19"/>
          <w:szCs w:val="19"/>
        </w:rPr>
        <w:t xml:space="preserve"> Research Center, Institute of Endocrinology and Metabolism, Iran University of Medical Sciences (IUMS), Tehran, Iran.</w:t>
      </w:r>
    </w:p>
    <w:p w:rsidR="00F57991" w:rsidRPr="00F57991" w:rsidRDefault="00F57991" w:rsidP="00F57991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2. Research Center for prevention of cardiovascular disease, Institute of Endocrinology and Metabolism, Iran University of Medical Sciences (IUMS), Tehran, Iran.</w:t>
      </w:r>
      <w:proofErr w:type="gramEnd"/>
    </w:p>
    <w:p w:rsidR="00F57991" w:rsidRPr="00F57991" w:rsidRDefault="00F57991" w:rsidP="00F57991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3.Kamali</w:t>
      </w:r>
      <w:proofErr w:type="gramEnd"/>
      <w:r w:rsidRPr="00F57991">
        <w:rPr>
          <w:sz w:val="19"/>
          <w:szCs w:val="19"/>
        </w:rPr>
        <w:t xml:space="preserve"> Teaching hospital, Alborz University of medical sciences, Karaj, Iran.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F57991" w:rsidRPr="00F57991" w:rsidRDefault="00F57991" w:rsidP="00F57991">
      <w:pPr>
        <w:jc w:val="both"/>
        <w:rPr>
          <w:color w:val="585858"/>
        </w:rPr>
      </w:pPr>
      <w:r>
        <w:rPr>
          <w:color w:val="585858"/>
        </w:rPr>
        <w:lastRenderedPageBreak/>
        <w:t xml:space="preserve">        </w:t>
      </w:r>
      <w:r w:rsidR="00B5063E" w:rsidRPr="00F57991">
        <w:rPr>
          <w:sz w:val="19"/>
          <w:szCs w:val="19"/>
        </w:rPr>
        <w:t xml:space="preserve">Keywords: </w:t>
      </w:r>
      <w:r w:rsidRPr="00F57991">
        <w:rPr>
          <w:sz w:val="19"/>
          <w:szCs w:val="19"/>
        </w:rPr>
        <w:t xml:space="preserve">Risk </w:t>
      </w:r>
      <w:r>
        <w:rPr>
          <w:sz w:val="19"/>
          <w:szCs w:val="19"/>
        </w:rPr>
        <w:t>F</w:t>
      </w:r>
      <w:r w:rsidRPr="00F57991">
        <w:rPr>
          <w:sz w:val="19"/>
          <w:szCs w:val="19"/>
        </w:rPr>
        <w:t>actors</w:t>
      </w:r>
      <w:r w:rsidRPr="00F57991">
        <w:rPr>
          <w:sz w:val="19"/>
          <w:szCs w:val="19"/>
        </w:rPr>
        <w:t xml:space="preserve">, </w:t>
      </w:r>
      <w:r>
        <w:rPr>
          <w:sz w:val="19"/>
          <w:szCs w:val="19"/>
        </w:rPr>
        <w:t>G</w:t>
      </w:r>
      <w:r w:rsidRPr="00F57991">
        <w:rPr>
          <w:sz w:val="19"/>
          <w:szCs w:val="19"/>
        </w:rPr>
        <w:t xml:space="preserve">estational </w:t>
      </w:r>
      <w:r>
        <w:rPr>
          <w:sz w:val="19"/>
          <w:szCs w:val="19"/>
        </w:rPr>
        <w:t>D</w:t>
      </w:r>
      <w:r w:rsidRPr="00F57991">
        <w:rPr>
          <w:sz w:val="19"/>
          <w:szCs w:val="19"/>
        </w:rPr>
        <w:t xml:space="preserve">iabetes </w:t>
      </w:r>
      <w:r>
        <w:rPr>
          <w:sz w:val="19"/>
          <w:szCs w:val="19"/>
        </w:rPr>
        <w:t>M</w:t>
      </w:r>
      <w:r w:rsidRPr="00F57991">
        <w:rPr>
          <w:sz w:val="19"/>
          <w:szCs w:val="19"/>
        </w:rPr>
        <w:t>ellitus</w:t>
      </w:r>
    </w:p>
    <w:p w:rsidR="008C3ACE" w:rsidRDefault="008C3ACE" w:rsidP="00F57991">
      <w:pPr>
        <w:pStyle w:val="Heading3"/>
        <w:spacing w:before="114"/>
        <w:ind w:left="426" w:right="9" w:firstLine="0"/>
        <w:jc w:val="both"/>
        <w:rPr>
          <w:b w:val="0"/>
          <w:sz w:val="20"/>
        </w:rPr>
      </w:pPr>
    </w:p>
    <w:p w:rsidR="008C3ACE" w:rsidRPr="00F57991" w:rsidRDefault="008C3ACE" w:rsidP="00F57991">
      <w:pPr>
        <w:pStyle w:val="BodyText"/>
        <w:rPr>
          <w:rFonts w:asciiTheme="majorBidi" w:hAnsiTheme="majorBidi" w:cstheme="majorBidi"/>
          <w:b/>
          <w:sz w:val="20"/>
          <w:szCs w:val="20"/>
        </w:rPr>
      </w:pPr>
    </w:p>
    <w:p w:rsidR="008C3ACE" w:rsidRPr="00F57991" w:rsidRDefault="00B5063E" w:rsidP="00F5799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rFonts w:asciiTheme="majorBidi" w:hAnsiTheme="majorBidi" w:cstheme="majorBidi"/>
          <w:b/>
          <w:sz w:val="20"/>
          <w:szCs w:val="20"/>
        </w:rPr>
      </w:pP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t>Abstract Body (up to 250</w:t>
      </w:r>
      <w:r w:rsidRPr="00F57991">
        <w:rPr>
          <w:rFonts w:asciiTheme="majorBidi" w:hAnsiTheme="majorBidi" w:cstheme="majorBidi"/>
          <w:b/>
          <w:color w:val="585858"/>
          <w:spacing w:val="-9"/>
          <w:sz w:val="20"/>
          <w:szCs w:val="20"/>
        </w:rPr>
        <w:t xml:space="preserve"> </w:t>
      </w: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t>words)</w:t>
      </w:r>
    </w:p>
    <w:p w:rsidR="00F57991" w:rsidRPr="00F57991" w:rsidRDefault="00F57991" w:rsidP="00F57991">
      <w:pPr>
        <w:ind w:left="567"/>
        <w:jc w:val="both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b/>
          <w:bCs/>
          <w:sz w:val="20"/>
          <w:szCs w:val="20"/>
        </w:rPr>
        <w:t xml:space="preserve">Aim: </w:t>
      </w:r>
      <w:r w:rsidRPr="00F57991">
        <w:rPr>
          <w:rFonts w:asciiTheme="majorBidi" w:hAnsiTheme="majorBidi" w:cstheme="majorBidi"/>
          <w:sz w:val="20"/>
          <w:szCs w:val="20"/>
        </w:rPr>
        <w:t xml:space="preserve">To assess the power </w:t>
      </w:r>
      <w:r w:rsidRPr="00F57991">
        <w:rPr>
          <w:rFonts w:asciiTheme="majorBidi" w:hAnsiTheme="majorBidi" w:cstheme="majorBidi"/>
          <w:sz w:val="20"/>
          <w:szCs w:val="20"/>
        </w:rPr>
        <w:t>of risk</w:t>
      </w:r>
      <w:r w:rsidRPr="00F57991">
        <w:rPr>
          <w:rFonts w:asciiTheme="majorBidi" w:hAnsiTheme="majorBidi" w:cstheme="majorBidi"/>
          <w:sz w:val="20"/>
          <w:szCs w:val="20"/>
        </w:rPr>
        <w:t xml:space="preserve"> </w:t>
      </w:r>
      <w:r w:rsidRPr="00F57991">
        <w:rPr>
          <w:rFonts w:asciiTheme="majorBidi" w:hAnsiTheme="majorBidi" w:cstheme="majorBidi"/>
          <w:sz w:val="20"/>
          <w:szCs w:val="20"/>
        </w:rPr>
        <w:t>factors to</w:t>
      </w:r>
      <w:r w:rsidRPr="00F57991">
        <w:rPr>
          <w:rFonts w:asciiTheme="majorBidi" w:hAnsiTheme="majorBidi" w:cstheme="majorBidi"/>
          <w:sz w:val="20"/>
          <w:szCs w:val="20"/>
        </w:rPr>
        <w:t xml:space="preserve"> diagnose gestational diabetes mellitus.</w:t>
      </w:r>
      <w:r w:rsidRPr="00F57991">
        <w:rPr>
          <w:rFonts w:asciiTheme="majorBidi" w:hAnsiTheme="majorBidi" w:cstheme="majorBidi"/>
          <w:sz w:val="20"/>
          <w:szCs w:val="20"/>
        </w:rPr>
        <w:t xml:space="preserve"> </w:t>
      </w:r>
      <w:r w:rsidRPr="00F57991">
        <w:rPr>
          <w:rFonts w:asciiTheme="majorBidi" w:hAnsiTheme="majorBidi" w:cstheme="majorBidi"/>
          <w:b/>
          <w:bCs/>
          <w:sz w:val="20"/>
          <w:szCs w:val="20"/>
        </w:rPr>
        <w:t>Methods:</w:t>
      </w:r>
      <w:r w:rsidRPr="00F57991">
        <w:rPr>
          <w:rFonts w:asciiTheme="majorBidi" w:hAnsiTheme="majorBidi" w:cstheme="majorBidi"/>
          <w:sz w:val="20"/>
          <w:szCs w:val="20"/>
        </w:rPr>
        <w:t xml:space="preserve"> In this prospective study, approximately 500 women recruited in two departments that130 parturients with complete documents </w:t>
      </w:r>
      <w:r w:rsidRPr="00F57991">
        <w:rPr>
          <w:rFonts w:asciiTheme="majorBidi" w:hAnsiTheme="majorBidi" w:cstheme="majorBidi"/>
          <w:sz w:val="20"/>
          <w:szCs w:val="20"/>
        </w:rPr>
        <w:t>recruited in</w:t>
      </w:r>
      <w:r w:rsidRPr="00F57991">
        <w:rPr>
          <w:rFonts w:asciiTheme="majorBidi" w:hAnsiTheme="majorBidi" w:cstheme="majorBidi"/>
          <w:sz w:val="20"/>
          <w:szCs w:val="20"/>
        </w:rPr>
        <w:t xml:space="preserve"> both groups (normal pregnancy and GDM). Gestational diabetes was confirmed at 24-28 weeks of gestation by one-step strategy. </w:t>
      </w:r>
      <w:r w:rsidRPr="00F57991">
        <w:rPr>
          <w:rFonts w:asciiTheme="majorBidi" w:hAnsiTheme="majorBidi" w:cstheme="majorBidi"/>
          <w:b/>
          <w:bCs/>
          <w:sz w:val="20"/>
          <w:szCs w:val="20"/>
          <w:lang w:val="it-IT" w:eastAsia="it-IT"/>
        </w:rPr>
        <w:t>Results: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Preexistence of risk factors; were more common in GDM group (94.4%; P-value = 0.001) due to ADA criteria. Diagnosis gestational age of the GDM group who have 1 risk factor (169) were as follows: 18 (14.6%) patients diagnosed in 24-28 weeks of gestation, 32 (26%) after 28 and the others (59.3%) before 24 weeks of gestation.</w:t>
      </w:r>
      <w:r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>In comparison between two groups, GDM have higher frequency of 2 risk factors and more; than the normal group (72% vs. 46%, p-value &lt;0.001) (risk factors categorization: 0 or 1 instead of 2 risk factors and more).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By determining final diagnosis as a dependent variable between maternal age, Pre-BMI, parity, abortion, family history of DM, history of GDM and education; we had found significant relationship between diagnosis and maternal age, education, family history of DM and history of GDM. </w:t>
      </w:r>
      <w:r w:rsidRPr="00F57991">
        <w:rPr>
          <w:rFonts w:asciiTheme="majorBidi" w:hAnsiTheme="majorBidi" w:cstheme="majorBidi"/>
          <w:b/>
          <w:bCs/>
          <w:sz w:val="20"/>
          <w:szCs w:val="20"/>
          <w:lang w:val="it-IT" w:eastAsia="it-IT"/>
        </w:rPr>
        <w:t>Conclusions: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We could suggest that the diagnosis gestational age of the GDM before 24 weeks of gestation may could reduce the maternal and fetal complications.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>Between the risk factors; maternal age, family history of DM and history of GDM were the more important to guide the GDM diagnosis.</w:t>
      </w:r>
    </w:p>
    <w:p w:rsidR="008C3ACE" w:rsidRPr="00F57991" w:rsidRDefault="008C3ACE" w:rsidP="00F57991">
      <w:pPr>
        <w:pStyle w:val="BodyText"/>
        <w:rPr>
          <w:rFonts w:asciiTheme="majorBidi" w:hAnsiTheme="majorBidi" w:cstheme="majorBidi"/>
          <w:sz w:val="20"/>
          <w:szCs w:val="20"/>
        </w:rPr>
      </w:pPr>
    </w:p>
    <w:p w:rsidR="008C3ACE" w:rsidRPr="00F57991" w:rsidRDefault="008C3ACE" w:rsidP="00F57991">
      <w:pPr>
        <w:pStyle w:val="BodyText"/>
        <w:ind w:left="1238"/>
        <w:rPr>
          <w:rFonts w:asciiTheme="majorBidi" w:hAnsiTheme="majorBidi" w:cstheme="majorBidi"/>
          <w:sz w:val="20"/>
          <w:szCs w:val="20"/>
        </w:rPr>
      </w:pPr>
    </w:p>
    <w:p w:rsidR="008C3ACE" w:rsidRPr="00F57991" w:rsidRDefault="00B5063E" w:rsidP="00F57991">
      <w:pPr>
        <w:pStyle w:val="ListParagraph"/>
        <w:numPr>
          <w:ilvl w:val="0"/>
          <w:numId w:val="1"/>
        </w:numPr>
        <w:tabs>
          <w:tab w:val="left" w:pos="1758"/>
        </w:tabs>
        <w:ind w:left="1757"/>
        <w:jc w:val="left"/>
        <w:rPr>
          <w:rFonts w:asciiTheme="majorBidi" w:hAnsiTheme="majorBidi" w:cstheme="majorBidi"/>
          <w:b/>
          <w:sz w:val="20"/>
          <w:szCs w:val="20"/>
        </w:rPr>
      </w:pPr>
      <w:r w:rsidRPr="00F57991">
        <w:rPr>
          <w:rFonts w:asciiTheme="majorBidi" w:hAnsiTheme="majorBidi" w:cstheme="majorBidi"/>
          <w:b/>
          <w:color w:val="585858"/>
          <w:w w:val="99"/>
          <w:sz w:val="20"/>
          <w:szCs w:val="20"/>
        </w:rPr>
        <w:br w:type="column"/>
      </w: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lastRenderedPageBreak/>
        <w:t>Reference:</w:t>
      </w:r>
    </w:p>
    <w:p w:rsidR="008C3ACE" w:rsidRPr="00F57991" w:rsidRDefault="008C3ACE" w:rsidP="00F57991">
      <w:pPr>
        <w:pStyle w:val="BodyText"/>
        <w:rPr>
          <w:rFonts w:asciiTheme="majorBidi" w:hAnsiTheme="majorBidi" w:cstheme="majorBidi"/>
          <w:b/>
          <w:sz w:val="20"/>
          <w:szCs w:val="20"/>
        </w:rPr>
      </w:pPr>
    </w:p>
    <w:p w:rsidR="00F57991" w:rsidRDefault="00F57991" w:rsidP="00F57991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American Diabetes Association. 2. Classification and diagnosis of diabetes. Diabetes care. 2015;38(Supplement 1):S8-S16.</w:t>
      </w:r>
    </w:p>
    <w:p w:rsidR="00F57991" w:rsidRPr="00F57991" w:rsidRDefault="00F57991" w:rsidP="00F57991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Metzger BE, Buchanan TA, Coustan DR, De Leiva A, Dunger DB, Hadden DR, et al. Summary and recommendations of the fifth international workshop-conference on gestational diabetes mellitus. Diabetes care. 2007;30(Supplement 2):S251-S60.</w:t>
      </w:r>
    </w:p>
    <w:p w:rsidR="00F57991" w:rsidRPr="00F57991" w:rsidRDefault="00F57991" w:rsidP="00F57991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Center Joslin Diabetes. Guideline for Detection and Management of Diabetes in Pregnancy. Revised 6/15/11). Retrieved from https://www. joslin. org/Preg_guideline_5_10_11_ (2)-0615-11. pdf, 2011.</w:t>
      </w:r>
    </w:p>
    <w:p w:rsidR="00F57991" w:rsidRPr="00F57991" w:rsidRDefault="00F57991" w:rsidP="00F57991">
      <w:pPr>
        <w:pStyle w:val="EndNoteBibliography"/>
        <w:spacing w:after="0"/>
        <w:ind w:left="1037"/>
        <w:rPr>
          <w:rFonts w:asciiTheme="majorBidi" w:hAnsiTheme="majorBidi" w:cstheme="majorBidi"/>
          <w:sz w:val="20"/>
          <w:szCs w:val="20"/>
        </w:rPr>
      </w:pPr>
    </w:p>
    <w:p w:rsidR="008C3ACE" w:rsidRDefault="008C3ACE" w:rsidP="00F57991">
      <w:pPr>
        <w:pStyle w:val="BodyText"/>
        <w:tabs>
          <w:tab w:val="left" w:pos="1037"/>
        </w:tabs>
        <w:ind w:left="1037" w:right="696" w:hanging="360"/>
        <w:rPr>
          <w:sz w:val="18"/>
        </w:rPr>
      </w:pP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C860D3" w:rsidP="00F57991">
      <w:pPr>
        <w:pStyle w:val="BodyText"/>
        <w:spacing w:before="1"/>
        <w:ind w:left="567"/>
        <w:jc w:val="both"/>
      </w:pPr>
      <w:r w:rsidRPr="007B1DF1">
        <w:t>Laily Najafi</w:t>
      </w:r>
      <w:r>
        <w:t xml:space="preserve"> is a student of PhD by research in clinical diabetes in Iran </w:t>
      </w:r>
      <w:r w:rsidR="00F57991">
        <w:t>University</w:t>
      </w:r>
      <w:r>
        <w:t xml:space="preserve"> of medical sciences. I have completed the general physician at the age of 26 years from Shiraz University of medical sciences. I have published more than 20 papers in reputed journals.</w:t>
      </w:r>
      <w:r>
        <w:br/>
      </w:r>
    </w:p>
    <w:p w:rsidR="008C3ACE" w:rsidRPr="00C860D3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C860D3" w:rsidRDefault="00C860D3" w:rsidP="00C860D3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</w:pPr>
    </w:p>
    <w:p w:rsidR="008C3ACE" w:rsidRDefault="00C860D3" w:rsidP="00F57991">
      <w:pPr>
        <w:pStyle w:val="BodyText"/>
        <w:spacing w:before="7"/>
        <w:ind w:left="567"/>
        <w:rPr>
          <w:b/>
          <w:sz w:val="15"/>
        </w:rPr>
      </w:pPr>
      <w:r>
        <w:rPr>
          <w:noProof/>
        </w:rPr>
        <w:drawing>
          <wp:inline distT="0" distB="0" distL="0" distR="0" wp14:anchorId="0F093A5C" wp14:editId="70109FD4">
            <wp:extent cx="763325" cy="6679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4485" cy="6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140BB6" w:rsidP="00F57991">
      <w:pPr>
        <w:pStyle w:val="BodyText"/>
        <w:spacing w:before="172"/>
        <w:ind w:left="567" w:right="4143"/>
      </w:pPr>
      <w:r>
        <w:rPr>
          <w:color w:val="585858"/>
        </w:rPr>
        <w:t>Laily Najafi</w:t>
      </w:r>
      <w:r w:rsidR="00B5063E">
        <w:rPr>
          <w:color w:val="585858"/>
        </w:rPr>
        <w:t xml:space="preserve"> </w:t>
      </w:r>
      <w:bookmarkStart w:id="0" w:name="_GoBack"/>
      <w:bookmarkEnd w:id="0"/>
      <w:r>
        <w:rPr>
          <w:color w:val="585858"/>
        </w:rPr>
        <w:t>00989171134995</w:t>
      </w:r>
      <w:r w:rsidR="00B5063E">
        <w:rPr>
          <w:color w:val="585858"/>
        </w:rPr>
        <w:t xml:space="preserve"> </w:t>
      </w:r>
      <w:r w:rsidR="00C860D3">
        <w:rPr>
          <w:color w:val="585858"/>
        </w:rPr>
        <w:t>Laily Najafi Maternal Fetal Medicine</w:t>
      </w:r>
    </w:p>
    <w:p w:rsidR="00140BB6" w:rsidRDefault="00B5063E" w:rsidP="00F57991">
      <w:pPr>
        <w:pStyle w:val="BodyText"/>
        <w:ind w:left="567" w:right="1786"/>
        <w:rPr>
          <w:color w:val="585858"/>
        </w:rPr>
      </w:pPr>
      <w:r>
        <w:rPr>
          <w:color w:val="585858"/>
        </w:rPr>
        <w:t xml:space="preserve">Category: (Oral presentation) </w:t>
      </w:r>
    </w:p>
    <w:p w:rsidR="008C3ACE" w:rsidRDefault="00140BB6" w:rsidP="00F57991">
      <w:pPr>
        <w:pStyle w:val="BodyText"/>
        <w:ind w:left="567" w:right="1786"/>
        <w:rPr>
          <w:sz w:val="18"/>
        </w:rPr>
      </w:pPr>
      <w:r>
        <w:rPr>
          <w:color w:val="585858"/>
        </w:rPr>
        <w:t>N41059353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1A3AE1" w:rsidRPr="001A3AE1" w:rsidRDefault="001A3AE1" w:rsidP="001A3AE1">
      <w:pPr>
        <w:pStyle w:val="BodyText"/>
        <w:spacing w:line="55" w:lineRule="exact"/>
        <w:rPr>
          <w:sz w:val="5"/>
        </w:rPr>
      </w:pPr>
    </w:p>
    <w:p w:rsidR="00B5063E" w:rsidRPr="001A3AE1" w:rsidRDefault="001A3AE1" w:rsidP="001A3AE1">
      <w:pPr>
        <w:tabs>
          <w:tab w:val="left" w:pos="4946"/>
        </w:tabs>
      </w:pPr>
      <w:r>
        <w:tab/>
      </w:r>
      <w:r>
        <w:rPr>
          <w:noProof/>
        </w:rPr>
        <w:drawing>
          <wp:inline distT="0" distB="0" distL="0" distR="0">
            <wp:extent cx="7359650" cy="956274"/>
            <wp:effectExtent l="0" t="0" r="0" b="0"/>
            <wp:docPr id="8" name="Picture 8" descr="C:\Users\gynecology-minl\Desktop\Gynecology 2019\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ecology-minl\Desktop\Gynecology 2019\Foot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3E" w:rsidRPr="001A3AE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95569F9E"/>
    <w:lvl w:ilvl="0" w:tplc="30E084E4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40BB6"/>
    <w:rsid w:val="001A3AE1"/>
    <w:rsid w:val="001D10CF"/>
    <w:rsid w:val="004B51DB"/>
    <w:rsid w:val="0058095B"/>
    <w:rsid w:val="00605747"/>
    <w:rsid w:val="00677986"/>
    <w:rsid w:val="0087363E"/>
    <w:rsid w:val="008C3ACE"/>
    <w:rsid w:val="00935715"/>
    <w:rsid w:val="009F3FAE"/>
    <w:rsid w:val="00A11783"/>
    <w:rsid w:val="00B5063E"/>
    <w:rsid w:val="00BF55A2"/>
    <w:rsid w:val="00C0276C"/>
    <w:rsid w:val="00C860D3"/>
    <w:rsid w:val="00D13B33"/>
    <w:rsid w:val="00DD0ED4"/>
    <w:rsid w:val="00EC4830"/>
    <w:rsid w:val="00F277CD"/>
    <w:rsid w:val="00F57991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F57991"/>
    <w:pPr>
      <w:widowControl/>
      <w:autoSpaceDE/>
      <w:autoSpaceDN/>
      <w:spacing w:after="200"/>
      <w:jc w:val="both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7991"/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F57991"/>
    <w:pPr>
      <w:widowControl/>
      <w:autoSpaceDE/>
      <w:autoSpaceDN/>
      <w:spacing w:after="200"/>
      <w:jc w:val="both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7991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</Words>
  <Characters>2644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dr-najafi</cp:lastModifiedBy>
  <cp:revision>2</cp:revision>
  <dcterms:created xsi:type="dcterms:W3CDTF">2019-01-07T05:48:00Z</dcterms:created>
  <dcterms:modified xsi:type="dcterms:W3CDTF">2019-01-07T05:48:00Z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