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4F9" w:rsidRPr="00D006E0" w:rsidRDefault="00DB74F9" w:rsidP="00DB74F9">
      <w:pPr>
        <w:spacing w:after="0" w:line="480" w:lineRule="auto"/>
        <w:jc w:val="both"/>
        <w:rPr>
          <w:rFonts w:ascii="Arial" w:hAnsi="Arial" w:cs="Arial"/>
          <w:sz w:val="24"/>
          <w:szCs w:val="24"/>
        </w:rPr>
      </w:pPr>
      <w:r w:rsidRPr="00D006E0">
        <w:rPr>
          <w:rFonts w:ascii="Arial" w:hAnsi="Arial" w:cs="Arial"/>
          <w:sz w:val="24"/>
          <w:szCs w:val="24"/>
        </w:rPr>
        <w:tab/>
      </w:r>
    </w:p>
    <w:p w:rsidR="00DB74F9" w:rsidRPr="00D006E0" w:rsidRDefault="00DB74F9" w:rsidP="00DB74F9">
      <w:pPr>
        <w:spacing w:after="0" w:line="480" w:lineRule="auto"/>
        <w:jc w:val="center"/>
        <w:rPr>
          <w:rFonts w:ascii="Arial" w:hAnsi="Arial" w:cs="Arial"/>
          <w:b/>
          <w:sz w:val="24"/>
          <w:szCs w:val="24"/>
        </w:rPr>
      </w:pPr>
      <w:r w:rsidRPr="00D006E0">
        <w:rPr>
          <w:rFonts w:ascii="Arial" w:hAnsi="Arial" w:cs="Arial"/>
          <w:b/>
          <w:sz w:val="24"/>
          <w:szCs w:val="24"/>
        </w:rPr>
        <w:t>Abstract</w:t>
      </w:r>
    </w:p>
    <w:p w:rsidR="00DB74F9" w:rsidRPr="00D006E0" w:rsidRDefault="00DB74F9" w:rsidP="00DB74F9">
      <w:pPr>
        <w:spacing w:after="0" w:line="480" w:lineRule="auto"/>
        <w:jc w:val="both"/>
        <w:rPr>
          <w:rFonts w:ascii="Arial" w:hAnsi="Arial" w:cs="Arial"/>
          <w:sz w:val="24"/>
          <w:szCs w:val="24"/>
        </w:rPr>
      </w:pPr>
    </w:p>
    <w:p w:rsidR="00DB74F9" w:rsidRPr="00D006E0" w:rsidRDefault="001D0C3C" w:rsidP="00DB74F9">
      <w:pPr>
        <w:spacing w:after="0" w:line="480" w:lineRule="auto"/>
        <w:jc w:val="both"/>
        <w:rPr>
          <w:rFonts w:ascii="Arial" w:hAnsi="Arial" w:cs="Arial"/>
          <w:sz w:val="24"/>
          <w:szCs w:val="24"/>
        </w:rPr>
      </w:pPr>
      <w:r w:rsidRPr="00D006E0">
        <w:rPr>
          <w:rFonts w:ascii="Arial" w:hAnsi="Arial" w:cs="Arial"/>
          <w:sz w:val="24"/>
          <w:szCs w:val="24"/>
        </w:rPr>
        <w:tab/>
      </w:r>
      <w:r w:rsidR="00AD20E9" w:rsidRPr="00D006E0">
        <w:rPr>
          <w:rFonts w:ascii="Arial" w:hAnsi="Arial" w:cs="Arial"/>
          <w:sz w:val="24"/>
          <w:szCs w:val="24"/>
        </w:rPr>
        <w:t>Ovarian cancer is relatively unc</w:t>
      </w:r>
      <w:bookmarkStart w:id="0" w:name="_GoBack"/>
      <w:bookmarkEnd w:id="0"/>
      <w:r w:rsidR="00AD20E9" w:rsidRPr="00D006E0">
        <w:rPr>
          <w:rFonts w:ascii="Arial" w:hAnsi="Arial" w:cs="Arial"/>
          <w:sz w:val="24"/>
          <w:szCs w:val="24"/>
        </w:rPr>
        <w:t xml:space="preserve">ommon, yet it is the deadliest of all </w:t>
      </w:r>
      <w:r w:rsidR="00F32400" w:rsidRPr="00D006E0">
        <w:rPr>
          <w:rFonts w:ascii="Arial" w:hAnsi="Arial" w:cs="Arial"/>
          <w:sz w:val="24"/>
          <w:szCs w:val="24"/>
        </w:rPr>
        <w:t>gynecologic malignancies</w:t>
      </w:r>
      <w:r w:rsidR="00AD20E9" w:rsidRPr="00D006E0">
        <w:rPr>
          <w:rFonts w:ascii="Arial" w:hAnsi="Arial" w:cs="Arial"/>
          <w:sz w:val="24"/>
          <w:szCs w:val="24"/>
        </w:rPr>
        <w:t>.</w:t>
      </w:r>
      <w:r w:rsidR="00A05359" w:rsidRPr="00D006E0">
        <w:rPr>
          <w:rFonts w:ascii="Arial" w:hAnsi="Arial" w:cs="Arial"/>
          <w:sz w:val="24"/>
          <w:szCs w:val="24"/>
        </w:rPr>
        <w:t xml:space="preserve"> This case-control study </w:t>
      </w:r>
      <w:r w:rsidR="00DB74F9" w:rsidRPr="00D006E0">
        <w:rPr>
          <w:rFonts w:ascii="Arial" w:hAnsi="Arial" w:cs="Arial"/>
          <w:sz w:val="24"/>
          <w:szCs w:val="24"/>
        </w:rPr>
        <w:t>compared the Risk of Malignancy Index (RMI) scoring system</w:t>
      </w:r>
      <w:r w:rsidR="00A05359" w:rsidRPr="00D006E0">
        <w:rPr>
          <w:rFonts w:ascii="Arial" w:hAnsi="Arial" w:cs="Arial"/>
          <w:sz w:val="24"/>
          <w:szCs w:val="24"/>
        </w:rPr>
        <w:t xml:space="preserve"> </w:t>
      </w:r>
      <w:r w:rsidR="00DB74F9" w:rsidRPr="00D006E0">
        <w:rPr>
          <w:rFonts w:ascii="Arial" w:hAnsi="Arial" w:cs="Arial"/>
          <w:sz w:val="24"/>
          <w:szCs w:val="24"/>
        </w:rPr>
        <w:t xml:space="preserve">(RMI1, RMI2, RMI3 and RMI4). </w:t>
      </w:r>
      <w:r w:rsidR="00A05359" w:rsidRPr="00D006E0">
        <w:rPr>
          <w:rFonts w:ascii="Arial" w:hAnsi="Arial" w:cs="Arial"/>
          <w:sz w:val="24"/>
          <w:szCs w:val="24"/>
        </w:rPr>
        <w:t>Based on the histological examination of the surgical specimens of 172 patients,</w:t>
      </w:r>
      <w:r w:rsidR="00DB74F9" w:rsidRPr="00D006E0">
        <w:rPr>
          <w:rFonts w:ascii="Arial" w:hAnsi="Arial" w:cs="Arial"/>
          <w:sz w:val="24"/>
          <w:szCs w:val="24"/>
        </w:rPr>
        <w:t xml:space="preserve"> </w:t>
      </w:r>
      <w:r w:rsidR="00A05359" w:rsidRPr="00D006E0">
        <w:rPr>
          <w:rFonts w:ascii="Arial" w:hAnsi="Arial" w:cs="Arial"/>
          <w:sz w:val="24"/>
          <w:szCs w:val="24"/>
        </w:rPr>
        <w:t xml:space="preserve">38 (22.09%) had benign and 134 (77.91%) had malignant ovarian masses. </w:t>
      </w:r>
      <w:r w:rsidR="00DB74F9" w:rsidRPr="00D006E0">
        <w:rPr>
          <w:rFonts w:ascii="Arial" w:hAnsi="Arial" w:cs="Arial"/>
          <w:sz w:val="24"/>
          <w:szCs w:val="24"/>
        </w:rPr>
        <w:t xml:space="preserve">Age, body mass index and menopausal status were associated with malignancy. There is no significant difference in the performance of these four different malignancy risk indices in discriminating </w:t>
      </w:r>
      <w:r w:rsidR="00F32400" w:rsidRPr="00D006E0">
        <w:rPr>
          <w:rFonts w:ascii="Arial" w:hAnsi="Arial" w:cs="Arial"/>
          <w:sz w:val="24"/>
          <w:szCs w:val="24"/>
        </w:rPr>
        <w:t>malignancy. The</w:t>
      </w:r>
      <w:r w:rsidR="00DB74F9" w:rsidRPr="00D006E0">
        <w:rPr>
          <w:rFonts w:ascii="Arial" w:hAnsi="Arial" w:cs="Arial"/>
          <w:sz w:val="24"/>
          <w:szCs w:val="24"/>
        </w:rPr>
        <w:t xml:space="preserve"> optimal cut off points of RMI1, RMI2, RMI3 and RMI4 based on ROC curve analysis were as follows: 72.29, 284.49, 254.52 and 284.49 respectively. RMI 2 and RMI 4 have the highest specificity of 85.1% (CI: 77.9% -90.6%), highest positive predictive values of 59.2% (CI: 47.3- 77.7) and highest positive likelihood ratio of 5.11 (CI: 3.28-7.95) while RMI 1 has the highest sensitivity of 86.8% (CI: 0.719-0.956) and highest negative predictive value of 95.3 (CI: 88.7 - 96.9). Because of its simplicity and reproducibility, the RMI scoring systems are recommended to provide an objective assessment of the underlying malignant potential hence can be the test of choice in the preoperative evaluation of the adnexal mass.</w:t>
      </w:r>
    </w:p>
    <w:p w:rsidR="00A05359" w:rsidRPr="00D006E0" w:rsidRDefault="00A05359" w:rsidP="00AD20E9">
      <w:pPr>
        <w:spacing w:after="0" w:line="480" w:lineRule="auto"/>
        <w:jc w:val="both"/>
        <w:rPr>
          <w:rFonts w:ascii="Arial" w:hAnsi="Arial" w:cs="Arial"/>
          <w:sz w:val="24"/>
          <w:szCs w:val="24"/>
        </w:rPr>
      </w:pPr>
    </w:p>
    <w:p w:rsidR="00A05359" w:rsidRPr="00D006E0" w:rsidRDefault="00A05359" w:rsidP="00AD20E9">
      <w:pPr>
        <w:spacing w:after="0" w:line="480" w:lineRule="auto"/>
        <w:jc w:val="both"/>
        <w:rPr>
          <w:rFonts w:ascii="Arial" w:hAnsi="Arial" w:cs="Arial"/>
          <w:sz w:val="24"/>
          <w:szCs w:val="24"/>
        </w:rPr>
      </w:pPr>
    </w:p>
    <w:p w:rsidR="006915CE" w:rsidRPr="00D006E0" w:rsidRDefault="006915CE">
      <w:pPr>
        <w:rPr>
          <w:sz w:val="24"/>
          <w:szCs w:val="24"/>
        </w:rPr>
      </w:pPr>
    </w:p>
    <w:sectPr w:rsidR="006915CE" w:rsidRPr="00D00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B4D"/>
    <w:rsid w:val="000D2B4D"/>
    <w:rsid w:val="001D0C3C"/>
    <w:rsid w:val="00354088"/>
    <w:rsid w:val="006915CE"/>
    <w:rsid w:val="008C4D0F"/>
    <w:rsid w:val="00A05359"/>
    <w:rsid w:val="00AD20E9"/>
    <w:rsid w:val="00D006E0"/>
    <w:rsid w:val="00DB74F9"/>
    <w:rsid w:val="00F32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C37D2-CE64-41C1-9F7D-6F9C1023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 H. Bicera</dc:creator>
  <cp:keywords/>
  <dc:description/>
  <cp:lastModifiedBy>OBGYN</cp:lastModifiedBy>
  <cp:revision>2</cp:revision>
  <dcterms:created xsi:type="dcterms:W3CDTF">2018-09-19T20:25:00Z</dcterms:created>
  <dcterms:modified xsi:type="dcterms:W3CDTF">2018-09-19T20:25:00Z</dcterms:modified>
</cp:coreProperties>
</file>