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center"/>
        <w:rPr>
          <w:b/>
          <w:b/>
          <w:sz w:val="32"/>
          <w:szCs w:val="32"/>
        </w:rPr>
      </w:pPr>
      <w:r>
        <w:rPr>
          <w:b/>
          <w:sz w:val="32"/>
          <w:szCs w:val="32"/>
        </w:rPr>
        <w:t xml:space="preserve">The New Next Normal </w:t>
      </w:r>
    </w:p>
    <w:p>
      <w:pPr>
        <w:pStyle w:val="Normal"/>
        <w:bidi w:val="0"/>
        <w:jc w:val="center"/>
        <w:rPr>
          <w:sz w:val="28"/>
          <w:szCs w:val="28"/>
        </w:rPr>
      </w:pPr>
      <w:r>
        <w:rPr>
          <w:b/>
          <w:sz w:val="28"/>
          <w:szCs w:val="28"/>
        </w:rPr>
        <w:t>“</w:t>
      </w:r>
      <w:r>
        <w:rPr>
          <w:b/>
          <w:sz w:val="28"/>
          <w:szCs w:val="28"/>
        </w:rPr>
        <w:t>Circular Economics”</w:t>
      </w:r>
    </w:p>
    <w:p>
      <w:pPr>
        <w:pStyle w:val="Normal"/>
        <w:bidi w:val="0"/>
        <w:jc w:val="left"/>
        <w:rPr>
          <w:sz w:val="24"/>
          <w:szCs w:val="24"/>
        </w:rPr>
      </w:pPr>
      <w:r>
        <w:rPr>
          <w:sz w:val="24"/>
          <w:szCs w:val="24"/>
        </w:rPr>
      </w:r>
    </w:p>
    <w:p>
      <w:pPr>
        <w:pStyle w:val="Normal"/>
        <w:bidi w:val="0"/>
        <w:jc w:val="left"/>
        <w:rPr>
          <w:sz w:val="24"/>
          <w:szCs w:val="24"/>
        </w:rPr>
      </w:pPr>
      <w:r>
        <w:rPr>
          <w:b/>
          <w:sz w:val="24"/>
          <w:szCs w:val="24"/>
        </w:rPr>
        <w:t>Woodrow W. Clark II, MA</w:t>
      </w:r>
      <w:r>
        <w:rPr>
          <w:b/>
          <w:sz w:val="24"/>
          <w:szCs w:val="24"/>
          <w:vertAlign w:val="subscript"/>
        </w:rPr>
        <w:t>3</w:t>
      </w:r>
      <w:r>
        <w:rPr>
          <w:b/>
          <w:sz w:val="24"/>
          <w:szCs w:val="24"/>
        </w:rPr>
        <w:t xml:space="preserve"> PhD (*)</w:t>
      </w:r>
    </w:p>
    <w:p>
      <w:pPr>
        <w:pStyle w:val="Normal"/>
        <w:bidi w:val="0"/>
        <w:jc w:val="left"/>
        <w:rPr>
          <w:b/>
          <w:b/>
        </w:rPr>
      </w:pPr>
      <w:r>
        <w:rPr>
          <w:b/>
        </w:rPr>
      </w:r>
    </w:p>
    <w:p>
      <w:pPr>
        <w:pStyle w:val="Normal"/>
        <w:bidi w:val="0"/>
        <w:jc w:val="left"/>
        <w:rPr>
          <w:sz w:val="24"/>
          <w:szCs w:val="24"/>
        </w:rPr>
      </w:pPr>
      <w:r>
        <w:rPr>
          <w:b/>
          <w:sz w:val="24"/>
          <w:szCs w:val="24"/>
        </w:rPr>
        <w:t>Overview</w:t>
      </w:r>
    </w:p>
    <w:p>
      <w:pPr>
        <w:pStyle w:val="Normal"/>
        <w:bidi w:val="0"/>
        <w:jc w:val="left"/>
        <w:rPr>
          <w:sz w:val="24"/>
          <w:szCs w:val="24"/>
        </w:rPr>
      </w:pPr>
      <w:r>
        <w:rPr>
          <w:sz w:val="24"/>
          <w:szCs w:val="24"/>
        </w:rPr>
      </w:r>
    </w:p>
    <w:p>
      <w:pPr>
        <w:pStyle w:val="Normal"/>
        <w:bidi w:val="0"/>
        <w:jc w:val="left"/>
        <w:rPr/>
      </w:pPr>
      <w:r>
        <w:rPr>
          <w:sz w:val="24"/>
          <w:szCs w:val="24"/>
        </w:rPr>
        <w:t>Given the global Covid-19 pandemic</w:t>
      </w:r>
      <w:r>
        <w:rPr>
          <w:rFonts w:eastAsia="Times New Roman"/>
          <w:color w:val="222222"/>
          <w:sz w:val="24"/>
          <w:szCs w:val="24"/>
          <w:shd w:fill="FFFFFF" w:val="clear"/>
        </w:rPr>
        <w:t xml:space="preserve"> has changed economic history from large gatherings of people at schools, concerts, religious services, conventions and travel, vacations and friends will require the creation of alternative ways to be together. Virtual and digital are not in person meetings so concerts, plays, city councils holding meetings, going to movie theaters as well as swimming in pools and oceans as well as parks and offices need to be at a distance (6 feet or more and masks). </w:t>
      </w:r>
    </w:p>
    <w:p>
      <w:pPr>
        <w:pStyle w:val="Normal"/>
        <w:bidi w:val="0"/>
        <w:jc w:val="left"/>
        <w:rPr>
          <w:rFonts w:eastAsia="Times New Roman"/>
          <w:color w:val="222222"/>
          <w:sz w:val="28"/>
          <w:szCs w:val="28"/>
          <w:shd w:fill="FFFFFF" w:val="clear"/>
        </w:rPr>
      </w:pPr>
      <w:r>
        <w:rPr>
          <w:rFonts w:eastAsia="Times New Roman"/>
          <w:color w:val="222222"/>
          <w:sz w:val="28"/>
          <w:szCs w:val="28"/>
          <w:shd w:fill="FFFFFF" w:val="clear"/>
        </w:rPr>
      </w:r>
    </w:p>
    <w:p>
      <w:pPr>
        <w:pStyle w:val="Normal"/>
        <w:bidi w:val="0"/>
        <w:jc w:val="left"/>
        <w:rPr>
          <w:sz w:val="24"/>
          <w:szCs w:val="24"/>
        </w:rPr>
      </w:pPr>
      <w:r>
        <w:rPr>
          <w:rFonts w:eastAsia="Times New Roman"/>
          <w:color w:val="222222"/>
          <w:sz w:val="24"/>
          <w:szCs w:val="24"/>
          <w:shd w:fill="FFFFFF" w:val="clear"/>
        </w:rPr>
        <w:t xml:space="preserve">As The Economist “Special Report: The world economy” (October 10, 2020: pgs 1-16) notes in its subtitle “The peril and the promise” (pg 1 and 5) such as insurance rates have gone down due to less automobile traffic, the list of the varieties of social change has yet to be written. The Economist notes at the end of the Special Report that “This is not a typical recession” (pg. 13) and then on pg. 14 “This report has argued that the virus will hasten changes in the economy. That presents a risk: that governments will again fail to respond adequately to the depth of the transformation.” The Economist does not note that Circular Economics (CE) could be the solution which the world needs now. </w:t>
      </w:r>
    </w:p>
    <w:p>
      <w:pPr>
        <w:pStyle w:val="Normal"/>
        <w:bidi w:val="0"/>
        <w:jc w:val="left"/>
        <w:rPr>
          <w:sz w:val="24"/>
          <w:szCs w:val="24"/>
        </w:rPr>
      </w:pPr>
      <w:r>
        <w:rPr>
          <w:sz w:val="24"/>
          <w:szCs w:val="24"/>
        </w:rPr>
      </w:r>
    </w:p>
    <w:p>
      <w:pPr>
        <w:pStyle w:val="Normal"/>
        <w:bidi w:val="0"/>
        <w:jc w:val="left"/>
        <w:rPr>
          <w:b/>
          <w:b/>
          <w:bCs/>
          <w:sz w:val="24"/>
          <w:szCs w:val="24"/>
        </w:rPr>
      </w:pPr>
      <w:r>
        <w:rPr>
          <w:b/>
          <w:bCs/>
          <w:sz w:val="24"/>
          <w:szCs w:val="24"/>
        </w:rPr>
        <w:t>The world has changed – where will it go next? Circular Economics</w:t>
      </w:r>
    </w:p>
    <w:p>
      <w:pPr>
        <w:pStyle w:val="Normal"/>
        <w:bidi w:val="0"/>
        <w:jc w:val="left"/>
        <w:rPr>
          <w:sz w:val="24"/>
          <w:szCs w:val="24"/>
        </w:rPr>
      </w:pPr>
      <w:r>
        <w:rPr>
          <w:sz w:val="24"/>
          <w:szCs w:val="24"/>
        </w:rPr>
      </w:r>
    </w:p>
    <w:p>
      <w:pPr>
        <w:pStyle w:val="Normal"/>
        <w:bidi w:val="0"/>
        <w:jc w:val="left"/>
        <w:rPr>
          <w:sz w:val="24"/>
          <w:szCs w:val="24"/>
        </w:rPr>
      </w:pPr>
      <w:r>
        <w:rPr>
          <w:rFonts w:eastAsia="Times New Roman"/>
          <w:color w:val="222222"/>
          <w:sz w:val="24"/>
          <w:szCs w:val="24"/>
          <w:shd w:fill="FFFFFF" w:val="clear"/>
        </w:rPr>
        <w:t xml:space="preserve">A key area of concern is the “working at home” plus not leaving your home mean transportation needs to change. Instead of using roads with traffic as well as transportation must be done in other ways such as walking or riding a bike. The planet is in danger due to the climate changes. Instead of our being “resilient” or “adapting” to climate change, all of us need to stop the global climate changes. </w:t>
      </w:r>
    </w:p>
    <w:p>
      <w:pPr>
        <w:pStyle w:val="Normal"/>
        <w:bidi w:val="0"/>
        <w:jc w:val="left"/>
        <w:rPr>
          <w:sz w:val="24"/>
          <w:szCs w:val="24"/>
        </w:rPr>
      </w:pPr>
      <w:r>
        <w:rPr>
          <w:sz w:val="24"/>
          <w:szCs w:val="24"/>
        </w:rPr>
      </w:r>
    </w:p>
    <w:p>
      <w:pPr>
        <w:pStyle w:val="Normal"/>
        <w:bidi w:val="0"/>
        <w:jc w:val="left"/>
        <w:rPr>
          <w:sz w:val="24"/>
          <w:szCs w:val="24"/>
        </w:rPr>
      </w:pPr>
      <w:r>
        <w:rPr>
          <w:rFonts w:eastAsia="Times New Roman"/>
          <w:color w:val="222222"/>
          <w:sz w:val="24"/>
          <w:szCs w:val="24"/>
          <w:shd w:fill="FFFFFF" w:val="clear"/>
        </w:rPr>
        <w:t xml:space="preserve">Today we have cars and transportation rules that car manufacturers need to comply with and safety especially with our children and now grandchildren. Remember the 1960s (see below) when there were convertible cars for our family with no seat belts etc.? For decades the world has been dependent on fossil fuels (coal, natural gas, oil) but now “green” (wind, solar and water) energy has replaced the demand for fossil fuels. </w:t>
      </w:r>
    </w:p>
    <w:p>
      <w:pPr>
        <w:pStyle w:val="Normal"/>
        <w:bidi w:val="0"/>
        <w:jc w:val="left"/>
        <w:rPr>
          <w:sz w:val="24"/>
          <w:szCs w:val="24"/>
        </w:rPr>
      </w:pPr>
      <w:r>
        <w:rPr>
          <w:sz w:val="24"/>
          <w:szCs w:val="24"/>
        </w:rPr>
        <w:t>-------------------------------</w:t>
      </w:r>
    </w:p>
    <w:p>
      <w:pPr>
        <w:pStyle w:val="Normal"/>
        <w:rPr>
          <w:color w:val="222222"/>
          <w:sz w:val="20"/>
        </w:rPr>
      </w:pPr>
      <w:r>
        <w:rPr>
          <w:color w:val="222222"/>
          <w:sz w:val="20"/>
          <w:shd w:fill="FFFFFF" w:val="clear"/>
        </w:rPr>
        <w:t>(*) Woodrow W. Clark, II, MA</w:t>
      </w:r>
      <w:r>
        <w:rPr>
          <w:color w:val="222222"/>
          <w:sz w:val="20"/>
          <w:shd w:fill="FFFFFF" w:val="clear"/>
          <w:vertAlign w:val="subscript"/>
        </w:rPr>
        <w:t>3</w:t>
      </w:r>
      <w:r>
        <w:rPr>
          <w:rStyle w:val="Appleconvertedspace"/>
          <w:color w:val="222222"/>
          <w:sz w:val="20"/>
          <w:shd w:fill="FFFFFF" w:val="clear"/>
          <w:vertAlign w:val="subscript"/>
        </w:rPr>
        <w:t> </w:t>
      </w:r>
      <w:r>
        <w:rPr>
          <w:color w:val="222222"/>
          <w:sz w:val="20"/>
          <w:shd w:fill="FFFFFF" w:val="clear"/>
        </w:rPr>
        <w:t>PhD</w:t>
      </w:r>
      <w:r>
        <w:rPr>
          <w:color w:val="222222"/>
          <w:sz w:val="20"/>
        </w:rPr>
        <w:br/>
        <w:t>Founder &amp; Managing Director</w:t>
      </w:r>
    </w:p>
    <w:p>
      <w:pPr>
        <w:pStyle w:val="Normal"/>
        <w:rPr>
          <w:color w:val="222222"/>
          <w:sz w:val="20"/>
        </w:rPr>
      </w:pPr>
      <w:r>
        <w:rPr>
          <w:color w:val="222222"/>
          <w:sz w:val="20"/>
        </w:rPr>
        <w:t>Clark Communications - Strategic Partners</w:t>
      </w:r>
    </w:p>
    <w:p>
      <w:pPr>
        <w:pStyle w:val="Normal"/>
        <w:rPr>
          <w:color w:val="222222"/>
          <w:sz w:val="20"/>
        </w:rPr>
      </w:pPr>
      <w:r>
        <w:rPr>
          <w:color w:val="222222"/>
          <w:sz w:val="20"/>
        </w:rPr>
        <w:t>PO Box #17975, Beverly Hills, CA</w:t>
      </w:r>
      <w:r>
        <w:rPr>
          <w:rStyle w:val="Appleconvertedspace"/>
          <w:color w:val="222222"/>
          <w:sz w:val="20"/>
        </w:rPr>
        <w:t xml:space="preserve">  </w:t>
      </w:r>
      <w:r>
        <w:rPr>
          <w:color w:val="222222"/>
          <w:sz w:val="20"/>
        </w:rPr>
        <w:t>USA 90209</w:t>
      </w:r>
    </w:p>
    <w:p>
      <w:pPr>
        <w:pStyle w:val="Normal"/>
        <w:rPr>
          <w:color w:val="222222"/>
          <w:sz w:val="20"/>
        </w:rPr>
      </w:pPr>
      <w:r>
        <w:rPr>
          <w:color w:val="222222"/>
          <w:sz w:val="20"/>
        </w:rPr>
        <w:t xml:space="preserve">Tel / Fax: +1 (310) 858-6881 and </w:t>
      </w:r>
      <w:hyperlink r:id="rId2">
        <w:r>
          <w:rPr>
            <w:rStyle w:val="InternetLink"/>
            <w:sz w:val="21"/>
            <w:szCs w:val="21"/>
            <w:shd w:fill="FFFFFF" w:val="clear"/>
          </w:rPr>
          <w:t>LinkedIn</w:t>
        </w:r>
      </w:hyperlink>
      <w:r>
        <w:rPr>
          <w:rStyle w:val="InternetLink"/>
          <w:sz w:val="21"/>
          <w:szCs w:val="21"/>
          <w:shd w:fill="FFFFFF" w:val="clear"/>
        </w:rPr>
        <w:t xml:space="preserve"> </w:t>
      </w:r>
    </w:p>
    <w:p>
      <w:pPr>
        <w:pStyle w:val="Normal"/>
        <w:bidi w:val="0"/>
        <w:jc w:val="left"/>
        <w:rPr>
          <w:sz w:val="24"/>
          <w:szCs w:val="24"/>
        </w:rPr>
      </w:pPr>
      <w:r>
        <w:rPr>
          <w:sz w:val="24"/>
          <w:szCs w:val="24"/>
        </w:rPr>
      </w:r>
    </w:p>
    <w:p>
      <w:pPr>
        <w:pStyle w:val="Normal"/>
        <w:bidi w:val="0"/>
        <w:jc w:val="left"/>
        <w:rPr>
          <w:b/>
          <w:b/>
          <w:bCs/>
        </w:rPr>
      </w:pPr>
      <w:r>
        <w:rPr>
          <w:b/>
          <w:bCs/>
        </w:rPr>
        <w:t>References:</w:t>
      </w:r>
    </w:p>
    <w:p>
      <w:pPr>
        <w:pStyle w:val="Normal"/>
        <w:bidi w:val="0"/>
        <w:jc w:val="left"/>
        <w:rPr>
          <w:sz w:val="20"/>
          <w:szCs w:val="20"/>
        </w:rPr>
      </w:pPr>
      <w:r>
        <w:rPr>
          <w:sz w:val="20"/>
          <w:szCs w:val="20"/>
        </w:rPr>
        <w:t xml:space="preserve">Bonato, Danielo, MBA, Circular Economics, ReMedia Company, Milan, Italy 2017 </w:t>
      </w:r>
      <w:r>
        <w:rPr>
          <w:rStyle w:val="InternetLink"/>
          <w:sz w:val="20"/>
          <w:szCs w:val="20"/>
          <w:shd w:fill="FFFFFF" w:val="clear"/>
        </w:rPr>
        <w:t>http://www.consorzioremedia.it</w:t>
      </w:r>
    </w:p>
    <w:p>
      <w:pPr>
        <w:pStyle w:val="Normal"/>
        <w:rPr>
          <w:sz w:val="20"/>
          <w:szCs w:val="20"/>
        </w:rPr>
      </w:pPr>
      <w:r>
        <w:rPr>
          <w:sz w:val="20"/>
          <w:szCs w:val="20"/>
        </w:rPr>
        <w:t xml:space="preserve">Chomsky, Noam. Reflections on Language. Pantheon Books, NY, NY 1975:  </w:t>
      </w:r>
      <w:hyperlink r:id="rId3">
        <w:r>
          <w:rPr>
            <w:rStyle w:val="InternetLink"/>
            <w:sz w:val="20"/>
            <w:szCs w:val="20"/>
          </w:rPr>
          <w:t>https://chomsky.info/</w:t>
        </w:r>
      </w:hyperlink>
    </w:p>
    <w:p>
      <w:pPr>
        <w:pStyle w:val="Normal"/>
        <w:rPr>
          <w:sz w:val="20"/>
          <w:szCs w:val="20"/>
        </w:rPr>
      </w:pPr>
      <w:r>
        <w:rPr>
          <w:sz w:val="20"/>
          <w:szCs w:val="20"/>
        </w:rPr>
      </w:r>
    </w:p>
    <w:p>
      <w:pPr>
        <w:pStyle w:val="Normal"/>
        <w:rPr>
          <w:sz w:val="20"/>
          <w:szCs w:val="20"/>
        </w:rPr>
      </w:pPr>
      <w:r>
        <w:rPr>
          <w:sz w:val="20"/>
          <w:szCs w:val="20"/>
        </w:rPr>
        <w:t>Circular Economics News ---- Starbucks Coffee case in point</w:t>
      </w:r>
    </w:p>
    <w:p>
      <w:pPr>
        <w:pStyle w:val="Normal"/>
        <w:rPr>
          <w:color w:val="222222"/>
          <w:sz w:val="20"/>
          <w:szCs w:val="20"/>
          <w:shd w:fill="FFFFFF" w:val="clear"/>
        </w:rPr>
      </w:pPr>
      <w:hyperlink r:id="rId4" w:tgtFrame="_blank">
        <w:r>
          <w:rPr>
            <w:rStyle w:val="InternetLink"/>
            <w:color w:val="1155CC"/>
            <w:sz w:val="20"/>
            <w:szCs w:val="20"/>
            <w:shd w:fill="FFFFFF" w:val="clear"/>
          </w:rPr>
          <w:t>https://www.triplepundit.com/2018/11/starbucks-circular-economy-roadmap/</w:t>
        </w:r>
      </w:hyperlink>
      <w:r>
        <w:rPr>
          <w:color w:val="222222"/>
          <w:sz w:val="20"/>
          <w:szCs w:val="20"/>
          <w:shd w:fill="FFFFFF" w:val="clear"/>
        </w:rPr>
        <w:t> (@)</w:t>
      </w:r>
    </w:p>
    <w:p>
      <w:pPr>
        <w:pStyle w:val="Normal"/>
        <w:rPr>
          <w:sz w:val="20"/>
          <w:szCs w:val="20"/>
        </w:rPr>
      </w:pPr>
      <w:r>
        <w:rPr>
          <w:sz w:val="20"/>
          <w:szCs w:val="20"/>
        </w:rPr>
      </w:r>
    </w:p>
    <w:p>
      <w:pPr>
        <w:pStyle w:val="Normal"/>
        <w:rPr>
          <w:sz w:val="20"/>
          <w:szCs w:val="20"/>
        </w:rPr>
      </w:pPr>
      <w:r>
        <w:rPr>
          <w:sz w:val="20"/>
          <w:szCs w:val="20"/>
        </w:rPr>
        <w:t>Clark, Woodrow W. “Circular Economics: The Academic Overview”, Pepperdine University Graziadio Business School, January 2019.</w:t>
      </w:r>
    </w:p>
    <w:p>
      <w:pPr>
        <w:pStyle w:val="Normal"/>
        <w:rPr>
          <w:sz w:val="20"/>
          <w:szCs w:val="20"/>
        </w:rPr>
      </w:pPr>
      <w:r>
        <w:rPr>
          <w:sz w:val="20"/>
          <w:szCs w:val="20"/>
        </w:rPr>
      </w:r>
    </w:p>
    <w:p>
      <w:pPr>
        <w:pStyle w:val="Normal"/>
        <w:rPr>
          <w:sz w:val="20"/>
          <w:szCs w:val="20"/>
        </w:rPr>
      </w:pPr>
      <w:r>
        <w:rPr>
          <w:sz w:val="20"/>
          <w:szCs w:val="20"/>
        </w:rPr>
        <w:t xml:space="preserve">Clark, Woodrow W. II and Bonato, Danielo. Circular Economics. 2015. See HuffPost </w:t>
      </w:r>
    </w:p>
    <w:p>
      <w:pPr>
        <w:pStyle w:val="Normal"/>
        <w:spacing w:lineRule="auto" w:line="288"/>
        <w:rPr>
          <w:color w:val="000000"/>
          <w:sz w:val="20"/>
          <w:szCs w:val="20"/>
        </w:rPr>
      </w:pPr>
      <w:r>
        <w:rPr>
          <w:sz w:val="20"/>
          <w:szCs w:val="20"/>
        </w:rPr>
        <w:t>“</w:t>
      </w:r>
      <w:r>
        <w:rPr>
          <w:sz w:val="20"/>
          <w:szCs w:val="20"/>
        </w:rPr>
        <w:t>Circular Economy and Raw Material Strategy: A critical challenge for Europe the World</w:t>
      </w:r>
      <w:r>
        <w:rPr>
          <w:color w:val="000000"/>
          <w:sz w:val="20"/>
          <w:szCs w:val="20"/>
        </w:rPr>
        <w:t xml:space="preserve"> “</w:t>
      </w:r>
    </w:p>
    <w:p>
      <w:pPr>
        <w:pStyle w:val="Normal"/>
        <w:bidi w:val="0"/>
        <w:spacing w:lineRule="auto" w:line="288"/>
        <w:jc w:val="left"/>
        <w:rPr>
          <w:color w:val="000000"/>
          <w:sz w:val="20"/>
          <w:szCs w:val="20"/>
        </w:rPr>
      </w:pPr>
      <w:r>
        <w:rPr>
          <w:rStyle w:val="InternetLink"/>
          <w:color w:val="000000"/>
          <w:sz w:val="20"/>
          <w:szCs w:val="20"/>
          <w:shd w:fill="FFFFFF" w:val="clear"/>
        </w:rPr>
        <w:t xml:space="preserve">In English: </w:t>
      </w:r>
      <w:hyperlink r:id="rId5">
        <w:r>
          <w:rPr>
            <w:rStyle w:val="InternetLink"/>
            <w:sz w:val="20"/>
            <w:szCs w:val="20"/>
            <w:shd w:fill="FFFFFF" w:val="clear"/>
          </w:rPr>
          <w:t>https://www.huffingtonpost.com/entry/circular-economy_2_b_7029130</w:t>
        </w:r>
      </w:hyperlink>
    </w:p>
    <w:p>
      <w:pPr>
        <w:pStyle w:val="Normal"/>
        <w:rPr>
          <w:sz w:val="20"/>
          <w:szCs w:val="20"/>
        </w:rPr>
      </w:pPr>
      <w:r>
        <w:rPr>
          <w:sz w:val="20"/>
          <w:szCs w:val="20"/>
        </w:rPr>
      </w:r>
    </w:p>
    <w:p>
      <w:pPr>
        <w:pStyle w:val="Normal"/>
        <w:rPr>
          <w:sz w:val="20"/>
          <w:szCs w:val="20"/>
        </w:rPr>
      </w:pPr>
      <w:r>
        <w:rPr>
          <w:sz w:val="20"/>
          <w:szCs w:val="20"/>
        </w:rPr>
        <w:t>Clark, Woodrow W. II The Next Economics. Springer Press. 2013.</w:t>
      </w:r>
    </w:p>
    <w:p>
      <w:pPr>
        <w:pStyle w:val="Normal"/>
        <w:rPr>
          <w:rFonts w:ascii="Times New Roman" w:hAnsi="Times New Roman"/>
          <w:sz w:val="18"/>
          <w:szCs w:val="18"/>
        </w:rPr>
      </w:pPr>
      <w:r>
        <w:rPr>
          <w:rFonts w:ascii="Times New Roman" w:hAnsi="Times New Roman"/>
          <w:sz w:val="18"/>
          <w:szCs w:val="18"/>
        </w:rPr>
      </w:r>
    </w:p>
    <w:p>
      <w:pPr>
        <w:pStyle w:val="Normal"/>
        <w:rPr>
          <w:sz w:val="20"/>
          <w:szCs w:val="20"/>
        </w:rPr>
      </w:pPr>
      <w:r>
        <w:rPr>
          <w:sz w:val="20"/>
          <w:szCs w:val="20"/>
        </w:rPr>
        <w:t xml:space="preserve">Clark, Woodrow W. II. and Grant Cooke  </w:t>
      </w:r>
      <w:r>
        <w:rPr>
          <w:rFonts w:eastAsia="SimSun"/>
          <w:sz w:val="20"/>
          <w:szCs w:val="20"/>
        </w:rPr>
        <w:t>伍德罗•克拉克</w:t>
      </w:r>
      <w:r>
        <w:rPr>
          <w:rFonts w:eastAsia="SimSun"/>
          <w:sz w:val="20"/>
          <w:szCs w:val="20"/>
        </w:rPr>
        <w:t>,</w:t>
      </w:r>
      <w:r>
        <w:rPr>
          <w:rFonts w:eastAsia="SimSun"/>
          <w:sz w:val="20"/>
          <w:szCs w:val="20"/>
        </w:rPr>
        <w:t>格兰特•</w:t>
      </w:r>
      <w:r>
        <w:rPr>
          <w:rFonts w:eastAsia="SimSun"/>
          <w:sz w:val="20"/>
          <w:szCs w:val="20"/>
        </w:rPr>
        <w:t xml:space="preserve">with </w:t>
      </w:r>
      <w:r>
        <w:rPr>
          <w:color w:val="222222"/>
          <w:sz w:val="20"/>
          <w:szCs w:val="20"/>
          <w:shd w:fill="FFFFFF" w:val="clear"/>
        </w:rPr>
        <w:t>Anjun Jerry JIN &amp; Ching-Fuh LIN</w:t>
      </w:r>
      <w:r>
        <w:rPr>
          <w:sz w:val="20"/>
          <w:szCs w:val="20"/>
        </w:rPr>
        <w:t xml:space="preserve"> </w:t>
      </w:r>
      <w:r>
        <w:rPr>
          <w:rFonts w:eastAsia="SimSun"/>
          <w:sz w:val="20"/>
          <w:szCs w:val="20"/>
        </w:rPr>
        <w:t>库克</w:t>
      </w:r>
      <w:r>
        <w:rPr>
          <w:rFonts w:eastAsia="SimSun"/>
          <w:sz w:val="20"/>
          <w:szCs w:val="20"/>
        </w:rPr>
        <w:t>,</w:t>
      </w:r>
      <w:r>
        <w:rPr>
          <w:rFonts w:eastAsia="SimSun"/>
          <w:sz w:val="20"/>
          <w:szCs w:val="20"/>
        </w:rPr>
        <w:t>金安君</w:t>
      </w:r>
      <w:r>
        <w:rPr>
          <w:rFonts w:eastAsia="SimSun"/>
          <w:sz w:val="20"/>
          <w:szCs w:val="20"/>
        </w:rPr>
        <w:t>,</w:t>
      </w:r>
      <w:r>
        <w:rPr>
          <w:rFonts w:eastAsia="SimSun"/>
          <w:sz w:val="20"/>
          <w:szCs w:val="20"/>
        </w:rPr>
        <w:t xml:space="preserve">林清富 </w:t>
      </w:r>
      <w:r>
        <w:rPr>
          <w:sz w:val="20"/>
          <w:szCs w:val="20"/>
        </w:rPr>
        <w:t>Green Development Paradigm (Mandarin). Ashgate and China Electric Power Press, August 2014.</w:t>
      </w:r>
    </w:p>
    <w:p>
      <w:pPr>
        <w:pStyle w:val="Normal"/>
        <w:rPr>
          <w:sz w:val="20"/>
          <w:szCs w:val="20"/>
        </w:rPr>
      </w:pPr>
      <w:r>
        <w:rPr>
          <w:sz w:val="20"/>
          <w:szCs w:val="20"/>
        </w:rPr>
        <w:t>Clark, Woodrow W. II and Grant Cooke. Green Industrial Revolution. Elsevier Press, 2015.</w:t>
      </w:r>
    </w:p>
    <w:p>
      <w:pPr>
        <w:pStyle w:val="Normal"/>
        <w:rPr>
          <w:sz w:val="20"/>
          <w:szCs w:val="20"/>
        </w:rPr>
      </w:pPr>
      <w:r>
        <w:rPr>
          <w:sz w:val="20"/>
          <w:szCs w:val="20"/>
        </w:rPr>
      </w:r>
    </w:p>
    <w:p>
      <w:pPr>
        <w:pStyle w:val="Normal"/>
        <w:rPr>
          <w:sz w:val="20"/>
          <w:szCs w:val="20"/>
        </w:rPr>
      </w:pPr>
      <w:r>
        <w:rPr>
          <w:sz w:val="20"/>
          <w:szCs w:val="20"/>
        </w:rPr>
        <w:t>Clark, Woodrow W. and Huiwen Peng “Bring a piece of Green for Industrial Revolution” (Interview of Dr. WW Clark II), Energy Review (Mandarin), pp. 59-64. September 2015</w:t>
      </w:r>
    </w:p>
    <w:p>
      <w:pPr>
        <w:pStyle w:val="Normal"/>
        <w:rPr>
          <w:sz w:val="20"/>
          <w:szCs w:val="20"/>
        </w:rPr>
      </w:pPr>
      <w:r>
        <w:rPr>
          <w:sz w:val="20"/>
          <w:szCs w:val="20"/>
        </w:rPr>
      </w:r>
    </w:p>
    <w:p>
      <w:pPr>
        <w:pStyle w:val="Normal"/>
        <w:rPr>
          <w:sz w:val="20"/>
          <w:szCs w:val="20"/>
        </w:rPr>
      </w:pPr>
      <w:r>
        <w:rPr>
          <w:sz w:val="20"/>
          <w:szCs w:val="20"/>
        </w:rPr>
        <w:t>Clark, Woodrow W. and Grant Cooke. Smart Green Cities. Routledge Press, March 2016.</w:t>
      </w:r>
    </w:p>
    <w:p>
      <w:pPr>
        <w:pStyle w:val="Normal"/>
        <w:rPr>
          <w:color w:val="222222"/>
          <w:sz w:val="20"/>
          <w:szCs w:val="20"/>
        </w:rPr>
      </w:pPr>
      <w:r>
        <w:rPr>
          <w:color w:val="222222"/>
          <w:sz w:val="20"/>
          <w:szCs w:val="20"/>
        </w:rPr>
      </w:r>
    </w:p>
    <w:p>
      <w:pPr>
        <w:pStyle w:val="Normal"/>
        <w:rPr>
          <w:sz w:val="20"/>
          <w:szCs w:val="20"/>
        </w:rPr>
      </w:pPr>
      <w:r>
        <w:rPr>
          <w:sz w:val="20"/>
          <w:szCs w:val="20"/>
        </w:rPr>
        <w:t>Clark, Woodrow W.II and Michael Fast, Authors / Editors. Qualitative Economics 2</w:t>
      </w:r>
      <w:r>
        <w:rPr>
          <w:sz w:val="20"/>
          <w:szCs w:val="20"/>
          <w:vertAlign w:val="superscript"/>
        </w:rPr>
        <w:t>nd</w:t>
      </w:r>
      <w:r>
        <w:rPr>
          <w:sz w:val="20"/>
          <w:szCs w:val="20"/>
        </w:rPr>
        <w:t xml:space="preserve"> ed Springer Press, 2019.</w:t>
      </w:r>
    </w:p>
    <w:p>
      <w:pPr>
        <w:pStyle w:val="Normal"/>
        <w:rPr>
          <w:sz w:val="20"/>
          <w:szCs w:val="20"/>
        </w:rPr>
      </w:pPr>
      <w:r>
        <w:rPr>
          <w:sz w:val="20"/>
          <w:szCs w:val="20"/>
        </w:rPr>
      </w:r>
    </w:p>
    <w:p>
      <w:pPr>
        <w:pStyle w:val="Normal"/>
        <w:rPr>
          <w:sz w:val="20"/>
          <w:szCs w:val="20"/>
        </w:rPr>
      </w:pPr>
      <w:r>
        <w:rPr>
          <w:sz w:val="20"/>
          <w:szCs w:val="20"/>
        </w:rPr>
        <w:t>Clark, Woodrow W. Editor and Author. Climate Preservation. Elsevier Press, 2018:</w:t>
      </w:r>
    </w:p>
    <w:p>
      <w:pPr>
        <w:pStyle w:val="Normal"/>
        <w:rPr>
          <w:sz w:val="20"/>
          <w:szCs w:val="20"/>
        </w:rPr>
      </w:pPr>
      <w:hyperlink r:id="rId6">
        <w:r>
          <w:rPr>
            <w:rStyle w:val="InternetLink"/>
            <w:sz w:val="20"/>
            <w:szCs w:val="20"/>
          </w:rPr>
          <w:t>https://www.elsevier.com/books/climate-preservation-in-urban-communities-case-studies/clark/978-0-12-815920-0</w:t>
        </w:r>
      </w:hyperlink>
    </w:p>
    <w:p>
      <w:pPr>
        <w:pStyle w:val="NormalWeb"/>
        <w:spacing w:before="280" w:after="280"/>
        <w:rPr>
          <w:sz w:val="20"/>
          <w:szCs w:val="20"/>
        </w:rPr>
      </w:pPr>
      <w:r>
        <w:rPr>
          <w:sz w:val="20"/>
          <w:szCs w:val="20"/>
        </w:rPr>
        <w:t>Clark II, Woodrow W. Author / Editor. Sustainable Communities Design Handbook 2</w:t>
      </w:r>
      <w:r>
        <w:rPr>
          <w:sz w:val="20"/>
          <w:szCs w:val="20"/>
          <w:vertAlign w:val="superscript"/>
        </w:rPr>
        <w:t>nd</w:t>
      </w:r>
      <w:r>
        <w:rPr>
          <w:sz w:val="20"/>
          <w:szCs w:val="20"/>
        </w:rPr>
        <w:t xml:space="preserve"> Ed. Elsevier Press, Fall 2017</w:t>
      </w:r>
    </w:p>
    <w:p>
      <w:pPr>
        <w:pStyle w:val="NormalWeb"/>
        <w:spacing w:before="280" w:after="280"/>
        <w:rPr>
          <w:sz w:val="20"/>
          <w:szCs w:val="20"/>
        </w:rPr>
      </w:pPr>
      <w:r>
        <w:rPr>
          <w:sz w:val="20"/>
          <w:szCs w:val="20"/>
        </w:rPr>
        <w:t>Clark II, Woodrow W.</w:t>
      </w:r>
      <w:r>
        <w:rPr>
          <w:rStyle w:val="InternetLink"/>
          <w:b w:val="false"/>
          <w:bCs w:val="false"/>
          <w:sz w:val="20"/>
          <w:szCs w:val="20"/>
          <w:shd w:fill="FFFFFF" w:val="clear"/>
        </w:rPr>
        <w:t xml:space="preserve"> </w:t>
      </w:r>
      <w:r>
        <w:rPr>
          <w:rStyle w:val="InternetLink"/>
          <w:sz w:val="20"/>
          <w:szCs w:val="20"/>
          <w:shd w:fill="FFFFFF" w:val="clear"/>
        </w:rPr>
        <w:t>Agile Energy Systems: Global Distributed On-Site and Central Grid Power. 2</w:t>
      </w:r>
      <w:r>
        <w:rPr>
          <w:rStyle w:val="InternetLink"/>
          <w:sz w:val="20"/>
          <w:szCs w:val="20"/>
          <w:shd w:fill="FFFFFF" w:val="clear"/>
          <w:vertAlign w:val="superscript"/>
        </w:rPr>
        <w:t>nd</w:t>
      </w:r>
      <w:r>
        <w:rPr>
          <w:rStyle w:val="InternetLink"/>
          <w:sz w:val="20"/>
          <w:szCs w:val="20"/>
          <w:shd w:fill="FFFFFF" w:val="clear"/>
        </w:rPr>
        <w:t xml:space="preserve"> Edition, Elsevier Press, 2017: https://www.elsevier.com/books/agile-energy-systems/clark/978-0-08-101760-9A</w:t>
      </w:r>
    </w:p>
    <w:p>
      <w:pPr>
        <w:pStyle w:val="NormalWeb"/>
        <w:spacing w:beforeAutospacing="0" w:before="2" w:afterAutospacing="0" w:after="2"/>
        <w:rPr>
          <w:sz w:val="20"/>
          <w:szCs w:val="20"/>
        </w:rPr>
      </w:pPr>
      <w:r>
        <w:rPr>
          <w:sz w:val="20"/>
          <w:szCs w:val="20"/>
        </w:rPr>
        <w:t>Clark, Woodrow W. and Danilo Bonato, Circular Economy and Raw Materials: A critical challenge for Europe and the rest of the World”, HuffPost Business, March 31, 2015.</w:t>
      </w:r>
    </w:p>
    <w:p>
      <w:pPr>
        <w:pStyle w:val="Normal"/>
        <w:spacing w:before="280" w:after="280"/>
        <w:rPr>
          <w:sz w:val="20"/>
          <w:szCs w:val="20"/>
        </w:rPr>
      </w:pPr>
      <w:r>
        <w:rPr>
          <w:rStyle w:val="InternetLink"/>
          <w:sz w:val="20"/>
          <w:szCs w:val="20"/>
          <w:shd w:fill="FFFFFF" w:val="clear"/>
        </w:rPr>
        <w:t>Clark, Woodrow W. and Danilo Bonato, Appendix: The European Union Circular Economy: The transition towards a better Future, HuffPost 2015 (in English and Italian)</w:t>
      </w:r>
    </w:p>
    <w:p>
      <w:pPr>
        <w:pStyle w:val="Normal"/>
        <w:rPr>
          <w:sz w:val="20"/>
          <w:szCs w:val="20"/>
        </w:rPr>
      </w:pPr>
      <w:r>
        <w:rPr>
          <w:sz w:val="20"/>
          <w:szCs w:val="20"/>
        </w:rPr>
        <w:t>Clark, Woodrow W. II and Istemi Demirag, “</w:t>
      </w:r>
      <w:r>
        <w:rPr>
          <w:iCs/>
          <w:sz w:val="20"/>
          <w:szCs w:val="20"/>
        </w:rPr>
        <w:t>Investment and Capitalization: American Firms</w:t>
      </w:r>
      <w:r>
        <w:rPr>
          <w:sz w:val="20"/>
          <w:szCs w:val="20"/>
        </w:rPr>
        <w:t>" (Enron, International Journal of Technology Management, Interscience, UK, Dec, 2001.</w:t>
      </w:r>
    </w:p>
    <w:p>
      <w:pPr>
        <w:pStyle w:val="Normal"/>
        <w:rPr>
          <w:sz w:val="20"/>
          <w:szCs w:val="20"/>
        </w:rPr>
      </w:pPr>
      <w:r>
        <w:rPr>
          <w:sz w:val="20"/>
          <w:szCs w:val="20"/>
        </w:rPr>
      </w:r>
    </w:p>
    <w:p>
      <w:pPr>
        <w:pStyle w:val="Normal"/>
        <w:rPr>
          <w:sz w:val="20"/>
          <w:szCs w:val="20"/>
        </w:rPr>
      </w:pPr>
      <w:r>
        <w:rPr>
          <w:sz w:val="20"/>
          <w:szCs w:val="20"/>
        </w:rPr>
        <w:t>Clark, Woodrow W. II., and Emilio Paolucci, “</w:t>
      </w:r>
      <w:r>
        <w:rPr>
          <w:iCs/>
          <w:sz w:val="20"/>
          <w:szCs w:val="20"/>
        </w:rPr>
        <w:t>Environmental Regulation and Product Development: issues for a new model of innovation</w:t>
      </w:r>
      <w:r>
        <w:rPr>
          <w:sz w:val="20"/>
          <w:szCs w:val="20"/>
        </w:rPr>
        <w:t>”, Journal of International Product Development Management, 1997a.</w:t>
      </w:r>
    </w:p>
    <w:p>
      <w:pPr>
        <w:pStyle w:val="Normal"/>
        <w:spacing w:before="280" w:after="280"/>
        <w:rPr>
          <w:sz w:val="20"/>
          <w:szCs w:val="20"/>
        </w:rPr>
      </w:pPr>
      <w:r>
        <w:rPr>
          <w:rStyle w:val="InternetLink"/>
          <w:sz w:val="20"/>
          <w:szCs w:val="20"/>
          <w:shd w:fill="FFFFFF" w:val="clear"/>
        </w:rPr>
        <w:t>Clark, Woodrow W. II and Emilio Paolucci, “</w:t>
      </w:r>
      <w:r>
        <w:rPr>
          <w:rStyle w:val="InternetLink"/>
          <w:iCs/>
          <w:sz w:val="20"/>
          <w:szCs w:val="20"/>
          <w:shd w:fill="FFFFFF" w:val="clear"/>
        </w:rPr>
        <w:t>An International Model for Technology Commercialization</w:t>
      </w:r>
      <w:r>
        <w:rPr>
          <w:rStyle w:val="InternetLink"/>
          <w:sz w:val="20"/>
          <w:szCs w:val="20"/>
          <w:shd w:fill="FFFFFF" w:val="clear"/>
        </w:rPr>
        <w:t>”, Journal of Technology Transfer, Washington, D.C.: July 1997b.</w:t>
      </w:r>
    </w:p>
    <w:p>
      <w:pPr>
        <w:pStyle w:val="Normal"/>
        <w:rPr>
          <w:sz w:val="20"/>
          <w:szCs w:val="20"/>
        </w:rPr>
      </w:pPr>
      <w:r>
        <w:rPr>
          <w:sz w:val="20"/>
          <w:szCs w:val="20"/>
        </w:rPr>
        <w:t>Electric Cars, Green Car Report (2018)</w:t>
      </w:r>
    </w:p>
    <w:p>
      <w:pPr>
        <w:pStyle w:val="Normal"/>
        <w:rPr>
          <w:sz w:val="20"/>
          <w:szCs w:val="20"/>
        </w:rPr>
      </w:pPr>
      <w:hyperlink r:id="rId7" w:tgtFrame="_blank">
        <w:r>
          <w:rPr>
            <w:rStyle w:val="InternetLink"/>
            <w:color w:val="1155CC"/>
            <w:sz w:val="20"/>
            <w:szCs w:val="20"/>
            <w:shd w:fill="FFFFFF" w:val="clear"/>
          </w:rPr>
          <w:t>https://www.greencarreports.com/news/1120235_latest-climate-study-says-its-already-too-late</w:t>
        </w:r>
      </w:hyperlink>
    </w:p>
    <w:p>
      <w:pPr>
        <w:pStyle w:val="Normal"/>
        <w:spacing w:before="280" w:after="280"/>
        <w:rPr>
          <w:sz w:val="20"/>
          <w:szCs w:val="20"/>
        </w:rPr>
      </w:pPr>
      <w:r>
        <w:rPr>
          <w:rStyle w:val="InternetLink"/>
          <w:sz w:val="20"/>
          <w:szCs w:val="20"/>
          <w:shd w:fill="FFFFFF" w:val="clear"/>
        </w:rPr>
        <w:t>Ellen MacArthur Foundation. The Circular Economy Opportunity for Urban &amp; Industrial Innovation in China. ARUP, Prime Company Authors, December 2018: pages 1-166.</w:t>
      </w:r>
    </w:p>
    <w:p>
      <w:pPr>
        <w:pStyle w:val="Normal"/>
        <w:spacing w:before="280" w:after="280"/>
        <w:rPr>
          <w:sz w:val="20"/>
          <w:szCs w:val="20"/>
        </w:rPr>
      </w:pPr>
      <w:r>
        <w:rPr>
          <w:color w:val="222222"/>
          <w:sz w:val="20"/>
          <w:szCs w:val="20"/>
        </w:rPr>
        <w:t xml:space="preserve">Energy News, “China: Green Energy”, January 2019 </w:t>
      </w:r>
      <w:hyperlink r:id="rId8">
        <w:r>
          <w:rPr>
            <w:rStyle w:val="InternetLink"/>
            <w:sz w:val="20"/>
            <w:szCs w:val="20"/>
          </w:rPr>
          <w:t>http://www.greenenergytimes.org/2019/01/29/january-29-green-energy-news-6/</w:t>
        </w:r>
      </w:hyperlink>
    </w:p>
    <w:p>
      <w:pPr>
        <w:pStyle w:val="Normal"/>
        <w:rPr>
          <w:sz w:val="20"/>
          <w:szCs w:val="20"/>
        </w:rPr>
      </w:pPr>
      <w:r>
        <w:rPr>
          <w:color w:val="333333"/>
          <w:sz w:val="20"/>
          <w:szCs w:val="20"/>
          <w:shd w:fill="FFFFFF" w:val="clear"/>
        </w:rPr>
        <w:t xml:space="preserve">Ellen MacArthur Foundation. </w:t>
      </w:r>
      <w:r>
        <w:rPr>
          <w:sz w:val="20"/>
          <w:szCs w:val="20"/>
        </w:rPr>
        <w:t xml:space="preserve">Circular Economics. Programs. </w:t>
      </w:r>
      <w:r>
        <w:rPr>
          <w:color w:val="333333"/>
          <w:sz w:val="20"/>
          <w:szCs w:val="20"/>
        </w:rPr>
        <w:t xml:space="preserve">The Circular Economy Opportunity for Urban and Industrial Innovation in China. ARUP Report, December 2018 </w:t>
      </w:r>
      <w:hyperlink r:id="rId9">
        <w:r>
          <w:rPr>
            <w:rStyle w:val="InternetLink"/>
            <w:sz w:val="20"/>
            <w:szCs w:val="20"/>
          </w:rPr>
          <w:t>https://www.ellenmacarthurfoundation.org/</w:t>
        </w:r>
      </w:hyperlink>
    </w:p>
    <w:p>
      <w:pPr>
        <w:pStyle w:val="Normal"/>
        <w:spacing w:before="280" w:after="280"/>
        <w:rPr>
          <w:sz w:val="20"/>
          <w:szCs w:val="20"/>
        </w:rPr>
      </w:pPr>
      <w:r>
        <w:rPr>
          <w:rStyle w:val="InternetLink"/>
          <w:sz w:val="20"/>
          <w:szCs w:val="20"/>
          <w:shd w:fill="FFFFFF" w:val="clear"/>
        </w:rPr>
        <w:t xml:space="preserve">EU Policies and Plans on Circular Economics 2019: </w:t>
      </w:r>
      <w:r>
        <w:rPr>
          <w:rStyle w:val="InternetLink"/>
          <w:color w:val="222222"/>
          <w:sz w:val="20"/>
          <w:szCs w:val="20"/>
          <w:shd w:fill="FFFFFF" w:val="clear"/>
        </w:rPr>
        <w:t>(</w:t>
      </w:r>
      <w:r>
        <w:rPr>
          <w:rStyle w:val="InternetLink"/>
          <w:sz w:val="20"/>
          <w:szCs w:val="20"/>
          <w:shd w:fill="FFFFFF" w:val="clear"/>
        </w:rPr>
        <w:t>http://ec.europa.eu/environment/circular-economy/index_en.htm</w:t>
      </w:r>
    </w:p>
    <w:p>
      <w:pPr>
        <w:pStyle w:val="Normal"/>
        <w:spacing w:before="280" w:after="280"/>
        <w:rPr>
          <w:rFonts w:ascii="Times New Roman" w:hAnsi="Times New Roman"/>
          <w:sz w:val="20"/>
          <w:szCs w:val="20"/>
        </w:rPr>
      </w:pPr>
      <w:r>
        <w:rPr>
          <w:rFonts w:ascii="Times New Roman" w:hAnsi="Times New Roman"/>
          <w:sz w:val="20"/>
          <w:szCs w:val="20"/>
        </w:rPr>
        <w:t>And there are more ----</w:t>
      </w:r>
    </w:p>
    <w:sectPr>
      <w:type w:val="nextPage"/>
      <w:pgSz w:w="12240" w:h="15840"/>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Songti SC" w:cs="Arial Unicode MS"/>
      <w:color w:val="auto"/>
      <w:kern w:val="2"/>
      <w:sz w:val="24"/>
      <w:szCs w:val="24"/>
      <w:lang w:val="en-US" w:eastAsia="zh-CN" w:bidi="hi-IN"/>
    </w:rPr>
  </w:style>
  <w:style w:type="character" w:styleId="DefaultParagraphFont">
    <w:name w:val="Default Paragraph Font"/>
    <w:qFormat/>
    <w:rPr/>
  </w:style>
  <w:style w:type="character" w:styleId="InternetLink">
    <w:name w:val="Hyperlink"/>
    <w:basedOn w:val="DefaultParagraphFont"/>
    <w:rPr>
      <w:color w:val="0563C1" w:themeColor="hyperlink"/>
      <w:u w:val="single"/>
    </w:rPr>
  </w:style>
  <w:style w:type="character" w:styleId="VisitedInternetLink">
    <w:name w:val="FollowedHyperlink"/>
    <w:basedOn w:val="DefaultParagraphFont"/>
    <w:rPr>
      <w:color w:val="954F72" w:themeColor="followedHyperlink"/>
      <w:u w:val="single"/>
    </w:rPr>
  </w:style>
  <w:style w:type="character" w:styleId="Appleconvertedspace">
    <w:name w:val="apple-converted-space"/>
    <w:basedOn w:val="DefaultParagraphFont"/>
    <w:qFormat/>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rmalWeb">
    <w:name w:val="Normal (Web)"/>
    <w:basedOn w:val="Normal"/>
    <w:qFormat/>
    <w:pPr>
      <w:spacing w:beforeAutospacing="1" w:afterAutospacing="1"/>
    </w:pPr>
    <w:rPr>
      <w:rFonts w:eastAsia="" w:eastAsiaTheme="minorHAns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linkedin.com/in/woodrow-w-clark-ii-b6962214" TargetMode="External"/><Relationship Id="rId3" Type="http://schemas.openxmlformats.org/officeDocument/2006/relationships/hyperlink" Target="https://chomsky.info/" TargetMode="External"/><Relationship Id="rId4" Type="http://schemas.openxmlformats.org/officeDocument/2006/relationships/hyperlink" Target="https://www.triplepundit.com/2018/11/starbucks-circular-economy-roadmap/" TargetMode="External"/><Relationship Id="rId5" Type="http://schemas.openxmlformats.org/officeDocument/2006/relationships/hyperlink" Target="https://www.huffingtonpost.com/entry/circular-economy_2_b_7029130" TargetMode="External"/><Relationship Id="rId6" Type="http://schemas.openxmlformats.org/officeDocument/2006/relationships/hyperlink" Target="https://www.elsevier.com/books/climate-preservation-in-urban-communities-case-studies/clark/978-0-12-815920-0" TargetMode="External"/><Relationship Id="rId7" Type="http://schemas.openxmlformats.org/officeDocument/2006/relationships/hyperlink" Target="https://www.greencarreports.com/news/1120235_latest-climate-study-says-its-already-too-late" TargetMode="External"/><Relationship Id="rId8" Type="http://schemas.openxmlformats.org/officeDocument/2006/relationships/hyperlink" Target="http://www.greenenergytimes.org/2019/01/29/january-29-green-energy-news-6/" TargetMode="External"/><Relationship Id="rId9" Type="http://schemas.openxmlformats.org/officeDocument/2006/relationships/hyperlink" Target="https://www.ellenmacarthurfoundation.org/" TargetMode="Externa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12</TotalTime>
  <Application>LibreOffice/7.0.2.2$MacOSX_X86_64 LibreOffice_project/8349ace3c3162073abd90d81fd06dcfb6b36b994</Application>
  <Pages>2</Pages>
  <Words>851</Words>
  <Characters>5114</Characters>
  <CharactersWithSpaces>5911</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2020-10-20T11:37:04Z</dcterms:created>
  <dc:creator/>
  <dc:description/>
  <dc:language>en-US</dc:language>
  <cp:lastModifiedBy/>
  <dcterms:modified xsi:type="dcterms:W3CDTF">2020-10-20T22:37:51Z</dcterms:modified>
  <cp:revision>6</cp:revision>
  <dc:subject/>
  <dc:title/>
</cp:coreProperties>
</file>