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A8A1FD" w14:textId="77777777" w:rsidR="00AE3E37" w:rsidRDefault="00E567E3" w:rsidP="00494130">
      <w:pPr>
        <w:pStyle w:val="Heading1"/>
        <w:spacing w:before="170"/>
        <w:ind w:left="0"/>
      </w:pPr>
      <w:r>
        <w:rPr>
          <w:color w:val="337AB7"/>
        </w:rPr>
        <w:t>Insights from Japan about Prospects of Renewable Energy</w:t>
      </w:r>
    </w:p>
    <w:p w14:paraId="585B3FDA" w14:textId="77777777" w:rsidR="005973B9" w:rsidRDefault="00E567E3" w:rsidP="005973B9">
      <w:pPr>
        <w:pStyle w:val="BodyText"/>
        <w:spacing w:before="73" w:line="198" w:lineRule="exact"/>
        <w:ind w:left="100" w:right="5987"/>
        <w:rPr>
          <w:rFonts w:ascii="Arial"/>
        </w:rPr>
      </w:pPr>
      <w:r>
        <w:rPr>
          <w:rFonts w:ascii="Arial"/>
        </w:rPr>
        <w:t>Younes Jalali, PhD, Schlumberger (retired), FRANCE</w:t>
      </w:r>
    </w:p>
    <w:p w14:paraId="3FAD675C" w14:textId="77777777" w:rsidR="00AE3E37" w:rsidRDefault="00AE3E37">
      <w:pPr>
        <w:pStyle w:val="BodyText"/>
        <w:rPr>
          <w:rFonts w:ascii="Arial"/>
          <w:sz w:val="20"/>
        </w:rPr>
      </w:pPr>
    </w:p>
    <w:p w14:paraId="7A63141A" w14:textId="77777777" w:rsidR="00AE3E37" w:rsidRDefault="00AE3E37">
      <w:pPr>
        <w:pStyle w:val="BodyText"/>
        <w:spacing w:before="3"/>
        <w:rPr>
          <w:rFonts w:ascii="Arial"/>
          <w:sz w:val="21"/>
        </w:rPr>
      </w:pPr>
    </w:p>
    <w:p w14:paraId="460727E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B9379F4" w14:textId="77777777" w:rsidR="00AE3E37" w:rsidRDefault="00A9710C" w:rsidP="00D21D71">
      <w:pPr>
        <w:pStyle w:val="Heading3"/>
        <w:spacing w:before="147"/>
        <w:ind w:left="0"/>
        <w:jc w:val="both"/>
      </w:pPr>
      <w:r>
        <w:rPr>
          <w:color w:val="BF5A14"/>
        </w:rPr>
        <w:lastRenderedPageBreak/>
        <w:t>Abstract</w:t>
      </w:r>
    </w:p>
    <w:p w14:paraId="03BA4ABB" w14:textId="02515A23" w:rsidR="00E567E3" w:rsidRPr="00E567E3" w:rsidRDefault="00E567E3" w:rsidP="00E567E3">
      <w:pPr>
        <w:rPr>
          <w:rFonts w:eastAsia="Times New Roman"/>
          <w:color w:val="000000"/>
          <w:sz w:val="18"/>
          <w:szCs w:val="18"/>
        </w:rPr>
      </w:pPr>
      <w:r w:rsidRPr="00E567E3">
        <w:rPr>
          <w:rFonts w:eastAsia="Times New Roman"/>
          <w:color w:val="000000"/>
          <w:sz w:val="18"/>
          <w:szCs w:val="18"/>
        </w:rPr>
        <w:t>Japan represents less than 2% of the world population, yet its energy usage is nearly 5% of global consumption. As the third largest economy in the world, and a highly industrialized one, this is not surprising. What is surprising is how modest is the use of renewab</w:t>
      </w:r>
      <w:r w:rsidR="00D21D71">
        <w:rPr>
          <w:rFonts w:eastAsia="Times New Roman"/>
          <w:color w:val="000000"/>
          <w:sz w:val="18"/>
          <w:szCs w:val="18"/>
        </w:rPr>
        <w:t>l</w:t>
      </w:r>
      <w:r w:rsidRPr="00E567E3">
        <w:rPr>
          <w:rFonts w:eastAsia="Times New Roman"/>
          <w:color w:val="000000"/>
          <w:sz w:val="18"/>
          <w:szCs w:val="18"/>
        </w:rPr>
        <w:t>e energy. Prior to Fukushima, renewables represented only 5% of the total energy mix. And today, nearly ten years on, it represents only 8%. Given that Japan is highly dependent on imports of primary energy resources, the expectation is that renewables would be far more developed. It is after all the best way to ensure security of supply. What can explain this paradox? And does it reveal causes that can help us understand the obstacles to the proliferation of renewables in Japan? </w:t>
      </w:r>
    </w:p>
    <w:p w14:paraId="1CD1872E" w14:textId="77777777" w:rsidR="00E567E3" w:rsidRPr="00E567E3" w:rsidRDefault="00E567E3" w:rsidP="00E567E3">
      <w:pPr>
        <w:rPr>
          <w:rFonts w:eastAsia="Times New Roman"/>
          <w:color w:val="000000"/>
          <w:sz w:val="18"/>
          <w:szCs w:val="18"/>
        </w:rPr>
      </w:pPr>
    </w:p>
    <w:p w14:paraId="2D3BBFBC" w14:textId="77777777" w:rsidR="00E567E3" w:rsidRPr="00E567E3" w:rsidRDefault="00E567E3" w:rsidP="00E567E3">
      <w:pPr>
        <w:rPr>
          <w:rFonts w:eastAsia="Times New Roman"/>
          <w:color w:val="000000"/>
          <w:sz w:val="18"/>
          <w:szCs w:val="18"/>
        </w:rPr>
      </w:pPr>
      <w:r w:rsidRPr="00E567E3">
        <w:rPr>
          <w:rFonts w:eastAsia="Times New Roman"/>
          <w:color w:val="000000"/>
          <w:sz w:val="18"/>
          <w:szCs w:val="18"/>
        </w:rPr>
        <w:t>Three causes can be elucidated. </w:t>
      </w:r>
    </w:p>
    <w:p w14:paraId="683768D6" w14:textId="77777777" w:rsidR="00E567E3" w:rsidRPr="00E567E3" w:rsidRDefault="00E567E3" w:rsidP="00E567E3">
      <w:pPr>
        <w:rPr>
          <w:rFonts w:eastAsia="Times New Roman"/>
          <w:color w:val="000000"/>
          <w:sz w:val="18"/>
          <w:szCs w:val="18"/>
        </w:rPr>
      </w:pPr>
    </w:p>
    <w:p w14:paraId="30BDB5E8" w14:textId="1F4A6987" w:rsidR="00E567E3" w:rsidRPr="00E567E3" w:rsidRDefault="00E567E3" w:rsidP="00E567E3">
      <w:pPr>
        <w:rPr>
          <w:rFonts w:eastAsia="Times New Roman"/>
          <w:color w:val="000000"/>
          <w:sz w:val="18"/>
          <w:szCs w:val="18"/>
        </w:rPr>
      </w:pPr>
      <w:r w:rsidRPr="00E567E3">
        <w:rPr>
          <w:rFonts w:eastAsia="Times New Roman"/>
          <w:color w:val="000000"/>
          <w:sz w:val="18"/>
          <w:szCs w:val="18"/>
        </w:rPr>
        <w:t>First is technical. The largest source of renewable energy in Japan is hydroelectricity. But this resource is fully utilized and there does not seem to be much scope for further development. Prior to Fukushima, 80% of Japan’s renewables was hydropower. Wind has also limited scope, since wind farms require vast space. It’s estimated 400 km2 is needed for a wind farm that can generate 1000 MW; but this sort of space allocation is not feasible in Japan. There is offshore wind, but there too the scarcity of unpopulated islands with shallow-water rims is a barrier. Floating offshore wind is at its infancy, and the region as a whole is prone to typhoons. Geothermal and biomass are also estimated to have modest scope for growth. This leaves solar as the resource with the least technical constraints (in favorable climate, 20 km2 is sufficient to harness 1000 MW). For this reason</w:t>
      </w:r>
      <w:r w:rsidR="009559F0">
        <w:rPr>
          <w:rFonts w:eastAsia="Times New Roman"/>
          <w:color w:val="000000"/>
          <w:sz w:val="18"/>
          <w:szCs w:val="18"/>
        </w:rPr>
        <w:t>,</w:t>
      </w:r>
      <w:r w:rsidRPr="00E567E3">
        <w:rPr>
          <w:rFonts w:eastAsia="Times New Roman"/>
          <w:color w:val="000000"/>
          <w:sz w:val="18"/>
          <w:szCs w:val="18"/>
        </w:rPr>
        <w:t xml:space="preserve"> solar has been the fastest growing renewable in Japan, post-Fukushima. But this growth is constrained by electricity storage and grid connectivity bottlenecks. This is the main reason behind the large gap between solar nameplate capacity (50 GW) and actual generation (8 GW).</w:t>
      </w:r>
    </w:p>
    <w:p w14:paraId="78F848CA" w14:textId="77777777" w:rsidR="00E567E3" w:rsidRPr="00E567E3" w:rsidRDefault="00E567E3" w:rsidP="00E567E3">
      <w:pPr>
        <w:rPr>
          <w:rFonts w:eastAsia="Times New Roman"/>
          <w:color w:val="000000"/>
          <w:sz w:val="18"/>
          <w:szCs w:val="18"/>
        </w:rPr>
      </w:pPr>
    </w:p>
    <w:p w14:paraId="680D6078" w14:textId="54088D00" w:rsidR="00E567E3" w:rsidRPr="00E567E3" w:rsidRDefault="00E567E3" w:rsidP="00E567E3">
      <w:pPr>
        <w:rPr>
          <w:rFonts w:eastAsia="Times New Roman"/>
          <w:color w:val="000000"/>
          <w:sz w:val="18"/>
          <w:szCs w:val="18"/>
        </w:rPr>
      </w:pPr>
      <w:r w:rsidRPr="00E567E3">
        <w:rPr>
          <w:rFonts w:eastAsia="Times New Roman"/>
          <w:color w:val="000000"/>
          <w:sz w:val="18"/>
          <w:szCs w:val="18"/>
        </w:rPr>
        <w:t>Second is cost. Cost shows its impact even within the non-renewable energy sources. In terms of fuel cost, nuc</w:t>
      </w:r>
      <w:r w:rsidR="00040FDD">
        <w:rPr>
          <w:rFonts w:eastAsia="Times New Roman"/>
          <w:color w:val="000000"/>
          <w:sz w:val="18"/>
          <w:szCs w:val="18"/>
        </w:rPr>
        <w:t>lear is the least expensive (eight</w:t>
      </w:r>
      <w:r w:rsidRPr="00E567E3">
        <w:rPr>
          <w:rFonts w:eastAsia="Times New Roman"/>
          <w:color w:val="000000"/>
          <w:sz w:val="18"/>
          <w:szCs w:val="18"/>
        </w:rPr>
        <w:t xml:space="preserve"> times less than coal), and coal is less expensive than oil and gas. This can be seen when we examine the energy equivalence of these resources. To sustain a 1000 MW </w:t>
      </w:r>
      <w:r w:rsidR="000B2E51">
        <w:rPr>
          <w:rFonts w:eastAsia="Times New Roman"/>
          <w:color w:val="000000"/>
          <w:sz w:val="18"/>
          <w:szCs w:val="18"/>
        </w:rPr>
        <w:t xml:space="preserve">power </w:t>
      </w:r>
      <w:r w:rsidRPr="00E567E3">
        <w:rPr>
          <w:rFonts w:eastAsia="Times New Roman"/>
          <w:color w:val="000000"/>
          <w:sz w:val="18"/>
          <w:szCs w:val="18"/>
        </w:rPr>
        <w:t xml:space="preserve">plant for a year, we need 13 million barrels of oil, 60 billion cubic feet of gas, 4 million tons of coal, or 200 tons of Uranium Oxide. The price of these commodities reveals the large disparity between different fuel costs. However, power generated by the most expensive fuel (oil and gas) is still less expensive than power by renewables. Japan has introduced the Feed-in-Tariff </w:t>
      </w:r>
      <w:r w:rsidR="00E70DAF">
        <w:rPr>
          <w:rFonts w:eastAsia="Times New Roman"/>
          <w:color w:val="000000"/>
          <w:sz w:val="18"/>
          <w:szCs w:val="18"/>
        </w:rPr>
        <w:t>(</w:t>
      </w:r>
      <w:r w:rsidR="00B62923">
        <w:rPr>
          <w:rFonts w:eastAsia="Times New Roman"/>
          <w:color w:val="000000"/>
          <w:sz w:val="18"/>
          <w:szCs w:val="18"/>
        </w:rPr>
        <w:t>F</w:t>
      </w:r>
      <w:r w:rsidR="00E70DAF">
        <w:rPr>
          <w:rFonts w:eastAsia="Times New Roman"/>
          <w:color w:val="000000"/>
          <w:sz w:val="18"/>
          <w:szCs w:val="18"/>
        </w:rPr>
        <w:t>IT</w:t>
      </w:r>
      <w:r w:rsidR="00B62923">
        <w:rPr>
          <w:rFonts w:eastAsia="Times New Roman"/>
          <w:color w:val="000000"/>
          <w:sz w:val="18"/>
          <w:szCs w:val="18"/>
        </w:rPr>
        <w:t xml:space="preserve">) </w:t>
      </w:r>
      <w:r w:rsidRPr="00E567E3">
        <w:rPr>
          <w:rFonts w:eastAsia="Times New Roman"/>
          <w:color w:val="000000"/>
          <w:sz w:val="18"/>
          <w:szCs w:val="18"/>
        </w:rPr>
        <w:t>program to mandate power companies to purchase renewable energy from local producers at a premium. For now, this solves the issue of lack of cost-competitiveness.</w:t>
      </w:r>
    </w:p>
    <w:p w14:paraId="643ADBCB" w14:textId="77777777" w:rsidR="00E567E3" w:rsidRPr="00E567E3" w:rsidRDefault="00E567E3" w:rsidP="00E567E3">
      <w:pPr>
        <w:rPr>
          <w:rFonts w:eastAsia="Times New Roman"/>
          <w:color w:val="000000"/>
          <w:sz w:val="18"/>
          <w:szCs w:val="18"/>
        </w:rPr>
      </w:pPr>
    </w:p>
    <w:p w14:paraId="410EF2C8" w14:textId="743C4234" w:rsidR="00E567E3" w:rsidRPr="00E567E3" w:rsidRDefault="00E567E3" w:rsidP="00E567E3">
      <w:pPr>
        <w:rPr>
          <w:rFonts w:eastAsia="Times New Roman"/>
          <w:color w:val="000000"/>
          <w:sz w:val="18"/>
          <w:szCs w:val="18"/>
        </w:rPr>
      </w:pPr>
      <w:r w:rsidRPr="00E567E3">
        <w:rPr>
          <w:rFonts w:eastAsia="Times New Roman"/>
          <w:color w:val="000000"/>
          <w:sz w:val="18"/>
          <w:szCs w:val="18"/>
        </w:rPr>
        <w:t>Third is security policy. Japan is committed to nuclear energy, because it gives it the technical knowhow</w:t>
      </w:r>
      <w:r w:rsidR="00E70DAF">
        <w:rPr>
          <w:rFonts w:eastAsia="Times New Roman"/>
          <w:color w:val="000000"/>
          <w:sz w:val="18"/>
          <w:szCs w:val="18"/>
        </w:rPr>
        <w:t xml:space="preserve"> and stockpiles</w:t>
      </w:r>
      <w:r w:rsidRPr="00E567E3">
        <w:rPr>
          <w:rFonts w:eastAsia="Times New Roman"/>
          <w:color w:val="000000"/>
          <w:sz w:val="18"/>
          <w:szCs w:val="18"/>
        </w:rPr>
        <w:t xml:space="preserve"> it considers it needs for purposes of </w:t>
      </w:r>
      <w:r w:rsidR="00FE5EB6">
        <w:rPr>
          <w:rFonts w:eastAsia="Times New Roman"/>
          <w:color w:val="000000"/>
          <w:sz w:val="18"/>
          <w:szCs w:val="18"/>
        </w:rPr>
        <w:t xml:space="preserve">national </w:t>
      </w:r>
      <w:r w:rsidRPr="00E567E3">
        <w:rPr>
          <w:rFonts w:eastAsia="Times New Roman"/>
          <w:color w:val="000000"/>
          <w:sz w:val="18"/>
          <w:szCs w:val="18"/>
        </w:rPr>
        <w:t xml:space="preserve">defense, and provides energy without greenhouse gases at a fuel cost that is much less than coal. </w:t>
      </w:r>
      <w:r w:rsidR="00E70DAF">
        <w:rPr>
          <w:rFonts w:eastAsia="Times New Roman"/>
          <w:color w:val="000000"/>
          <w:sz w:val="18"/>
          <w:szCs w:val="18"/>
        </w:rPr>
        <w:t>This is significant f</w:t>
      </w:r>
      <w:r w:rsidR="00C727D0">
        <w:rPr>
          <w:rFonts w:eastAsia="Times New Roman"/>
          <w:color w:val="000000"/>
          <w:sz w:val="18"/>
          <w:szCs w:val="18"/>
        </w:rPr>
        <w:t>or a country that is highly electrified (nearly 50% of Japan’s en</w:t>
      </w:r>
      <w:r w:rsidR="00E70DAF">
        <w:rPr>
          <w:rFonts w:eastAsia="Times New Roman"/>
          <w:color w:val="000000"/>
          <w:sz w:val="18"/>
          <w:szCs w:val="18"/>
        </w:rPr>
        <w:t>ergy is consumed as electricity</w:t>
      </w:r>
      <w:r w:rsidR="00C727D0">
        <w:rPr>
          <w:rFonts w:eastAsia="Times New Roman"/>
          <w:color w:val="000000"/>
          <w:sz w:val="18"/>
          <w:szCs w:val="18"/>
        </w:rPr>
        <w:t>)</w:t>
      </w:r>
      <w:r w:rsidR="00E70DAF">
        <w:rPr>
          <w:rFonts w:eastAsia="Times New Roman"/>
          <w:color w:val="000000"/>
          <w:sz w:val="18"/>
          <w:szCs w:val="18"/>
        </w:rPr>
        <w:t>.</w:t>
      </w:r>
      <w:r w:rsidR="00C727D0">
        <w:rPr>
          <w:rFonts w:eastAsia="Times New Roman"/>
          <w:color w:val="000000"/>
          <w:sz w:val="18"/>
          <w:szCs w:val="18"/>
        </w:rPr>
        <w:t xml:space="preserve"> </w:t>
      </w:r>
      <w:r w:rsidRPr="00E567E3">
        <w:rPr>
          <w:rFonts w:eastAsia="Times New Roman"/>
          <w:color w:val="000000"/>
          <w:sz w:val="18"/>
          <w:szCs w:val="18"/>
        </w:rPr>
        <w:t>If Japan were to exit from nuclear, it will see a rapid rise in renewable energy generation. That would be the only way for it to honor its targets to curb greenhouse gas emissions (2030 level at 25% below 2005, or 930 million tons energy-derived CO2).  From this, it’s safe to conclude that the largest obstacle to the development of renewables in Japan is commitment to nuclear energy. The cost equation can be tilted in favor of renewables, if emissions are properly taxed and primary resou</w:t>
      </w:r>
      <w:r w:rsidR="00FE5EB6">
        <w:rPr>
          <w:rFonts w:eastAsia="Times New Roman"/>
          <w:color w:val="000000"/>
          <w:sz w:val="18"/>
          <w:szCs w:val="18"/>
        </w:rPr>
        <w:t>rces are realistically priced (Uranium O</w:t>
      </w:r>
      <w:r w:rsidRPr="00E567E3">
        <w:rPr>
          <w:rFonts w:eastAsia="Times New Roman"/>
          <w:color w:val="000000"/>
          <w:sz w:val="18"/>
          <w:szCs w:val="18"/>
        </w:rPr>
        <w:t>xide is priced today like oil, pre-OPEC). Technical barrier</w:t>
      </w:r>
      <w:r w:rsidR="0088693E">
        <w:rPr>
          <w:rFonts w:eastAsia="Times New Roman"/>
          <w:color w:val="000000"/>
          <w:sz w:val="18"/>
          <w:szCs w:val="18"/>
        </w:rPr>
        <w:t>s can also be overcome to a large</w:t>
      </w:r>
      <w:r w:rsidRPr="00E567E3">
        <w:rPr>
          <w:rFonts w:eastAsia="Times New Roman"/>
          <w:color w:val="000000"/>
          <w:sz w:val="18"/>
          <w:szCs w:val="18"/>
        </w:rPr>
        <w:t xml:space="preserve"> degr</w:t>
      </w:r>
      <w:r w:rsidR="00FE5EB6">
        <w:rPr>
          <w:rFonts w:eastAsia="Times New Roman"/>
          <w:color w:val="000000"/>
          <w:sz w:val="18"/>
          <w:szCs w:val="18"/>
        </w:rPr>
        <w:t xml:space="preserve">ee. The key barrier </w:t>
      </w:r>
      <w:r w:rsidRPr="00E567E3">
        <w:rPr>
          <w:rFonts w:eastAsia="Times New Roman"/>
          <w:color w:val="000000"/>
          <w:sz w:val="18"/>
          <w:szCs w:val="18"/>
        </w:rPr>
        <w:t>is Japan’s security policy. And this seems to be a common theme amongst leading industrialized nations. </w:t>
      </w:r>
    </w:p>
    <w:p w14:paraId="7584BC0B" w14:textId="77777777" w:rsidR="00E567E3" w:rsidRPr="00E567E3" w:rsidRDefault="00E567E3" w:rsidP="00E567E3">
      <w:pPr>
        <w:rPr>
          <w:rFonts w:eastAsia="Times New Roman"/>
          <w:color w:val="000000"/>
          <w:sz w:val="18"/>
          <w:szCs w:val="18"/>
        </w:rPr>
      </w:pPr>
    </w:p>
    <w:p w14:paraId="1BE877A0" w14:textId="0FD6C3B8" w:rsidR="00D21D71" w:rsidRDefault="00A9710C" w:rsidP="00D21D71">
      <w:pPr>
        <w:pStyle w:val="Heading3"/>
        <w:spacing w:before="74"/>
        <w:rPr>
          <w:color w:val="BF5A14"/>
        </w:rPr>
      </w:pPr>
      <w:r>
        <w:rPr>
          <w:b w:val="0"/>
        </w:rPr>
        <w:br w:type="column"/>
      </w:r>
      <w:r>
        <w:rPr>
          <w:color w:val="BF5A14"/>
        </w:rPr>
        <w:lastRenderedPageBreak/>
        <w:t>Image</w:t>
      </w:r>
    </w:p>
    <w:p w14:paraId="2250D43F" w14:textId="1082505C" w:rsidR="00AE3E37" w:rsidRPr="00D21D71" w:rsidRDefault="00D21D71" w:rsidP="00D21D71">
      <w:pPr>
        <w:pStyle w:val="Heading3"/>
        <w:spacing w:before="74"/>
        <w:rPr>
          <w:color w:val="BF5A14"/>
        </w:rPr>
      </w:pPr>
      <w:r>
        <w:rPr>
          <w:noProof/>
          <w:color w:val="BF5A14"/>
        </w:rPr>
        <w:drawing>
          <wp:inline distT="0" distB="0" distL="0" distR="0" wp14:anchorId="3C633E06" wp14:editId="0719AE8A">
            <wp:extent cx="3161665" cy="2412365"/>
            <wp:effectExtent l="0" t="0" r="0" b="635"/>
            <wp:docPr id="6" name="Picture 6" descr="/Users/younesjalali/Desktop/Screen Shot 2020-09-13 at 3.00.3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ers/younesjalali/Desktop/Screen Shot 2020-09-13 at 3.00.34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1665" cy="2412365"/>
                    </a:xfrm>
                    <a:prstGeom prst="rect">
                      <a:avLst/>
                    </a:prstGeom>
                    <a:noFill/>
                    <a:ln>
                      <a:noFill/>
                    </a:ln>
                  </pic:spPr>
                </pic:pic>
              </a:graphicData>
            </a:graphic>
          </wp:inline>
        </w:drawing>
      </w:r>
    </w:p>
    <w:p w14:paraId="11EB40DE" w14:textId="7470E2D0" w:rsidR="005973B9" w:rsidRDefault="005973B9" w:rsidP="005973B9">
      <w:pPr>
        <w:spacing w:line="204" w:lineRule="exact"/>
        <w:rPr>
          <w:rFonts w:ascii="Arial"/>
          <w:b/>
          <w:sz w:val="20"/>
        </w:rPr>
      </w:pPr>
      <w:r>
        <w:rPr>
          <w:rFonts w:ascii="Arial"/>
          <w:b/>
          <w:color w:val="BF5A14"/>
          <w:sz w:val="20"/>
        </w:rPr>
        <w:br/>
        <w:t>Recent Publications</w:t>
      </w:r>
    </w:p>
    <w:p w14:paraId="72F34EB5" w14:textId="77777777" w:rsidR="0059065B" w:rsidRPr="0059065B" w:rsidRDefault="0059065B" w:rsidP="0059065B">
      <w:pPr>
        <w:widowControl/>
        <w:numPr>
          <w:ilvl w:val="0"/>
          <w:numId w:val="4"/>
        </w:numPr>
        <w:jc w:val="both"/>
        <w:rPr>
          <w:rFonts w:asciiTheme="minorHAnsi" w:hAnsiTheme="minorHAnsi"/>
          <w:i/>
          <w:iCs/>
          <w:sz w:val="18"/>
          <w:szCs w:val="18"/>
        </w:rPr>
      </w:pPr>
      <w:r w:rsidRPr="0059065B">
        <w:rPr>
          <w:rFonts w:asciiTheme="minorHAnsi" w:hAnsiTheme="minorHAnsi"/>
          <w:bCs/>
          <w:iCs/>
          <w:sz w:val="18"/>
          <w:szCs w:val="18"/>
        </w:rPr>
        <w:t>Jalali, Y.,</w:t>
      </w:r>
      <w:r w:rsidRPr="0059065B">
        <w:rPr>
          <w:rFonts w:asciiTheme="minorHAnsi" w:hAnsiTheme="minorHAnsi"/>
          <w:iCs/>
          <w:sz w:val="18"/>
          <w:szCs w:val="18"/>
        </w:rPr>
        <w:t xml:space="preserve"> </w:t>
      </w:r>
      <w:proofErr w:type="spellStart"/>
      <w:r w:rsidRPr="0059065B">
        <w:rPr>
          <w:rFonts w:asciiTheme="minorHAnsi" w:hAnsiTheme="minorHAnsi"/>
          <w:iCs/>
          <w:sz w:val="18"/>
          <w:szCs w:val="18"/>
        </w:rPr>
        <w:t>Haq</w:t>
      </w:r>
      <w:proofErr w:type="spellEnd"/>
      <w:r w:rsidRPr="0059065B">
        <w:rPr>
          <w:rFonts w:asciiTheme="minorHAnsi" w:hAnsiTheme="minorHAnsi"/>
          <w:iCs/>
          <w:sz w:val="18"/>
          <w:szCs w:val="18"/>
        </w:rPr>
        <w:t>, S.: “On Combined Use of Bed Boundary Logs and Formation Testing while Drilling to Predict Well Deliverability,” 19</w:t>
      </w:r>
      <w:r w:rsidRPr="0059065B">
        <w:rPr>
          <w:rFonts w:asciiTheme="minorHAnsi" w:hAnsiTheme="minorHAnsi"/>
          <w:iCs/>
          <w:sz w:val="18"/>
          <w:szCs w:val="18"/>
          <w:vertAlign w:val="superscript"/>
        </w:rPr>
        <w:t>th</w:t>
      </w:r>
      <w:r w:rsidRPr="0059065B">
        <w:rPr>
          <w:rFonts w:asciiTheme="minorHAnsi" w:hAnsiTheme="minorHAnsi"/>
          <w:iCs/>
          <w:sz w:val="18"/>
          <w:szCs w:val="18"/>
        </w:rPr>
        <w:t xml:space="preserve"> Formation Evaluation Symposium of Japan, Chiba, Japan, September 26-27, 2013.  </w:t>
      </w:r>
    </w:p>
    <w:p w14:paraId="7B1F7D4C" w14:textId="77777777" w:rsidR="0059065B" w:rsidRPr="0059065B" w:rsidRDefault="0059065B" w:rsidP="0059065B">
      <w:pPr>
        <w:widowControl/>
        <w:numPr>
          <w:ilvl w:val="0"/>
          <w:numId w:val="4"/>
        </w:numPr>
        <w:jc w:val="both"/>
        <w:rPr>
          <w:rFonts w:asciiTheme="minorHAnsi" w:hAnsiTheme="minorHAnsi"/>
          <w:i/>
          <w:iCs/>
          <w:sz w:val="18"/>
          <w:szCs w:val="18"/>
        </w:rPr>
      </w:pPr>
      <w:r w:rsidRPr="0059065B">
        <w:rPr>
          <w:rFonts w:asciiTheme="minorHAnsi" w:hAnsiTheme="minorHAnsi"/>
          <w:bCs/>
          <w:sz w:val="18"/>
          <w:szCs w:val="18"/>
          <w:lang w:val="en-GB"/>
        </w:rPr>
        <w:t>Jalali, Y.:</w:t>
      </w:r>
      <w:r w:rsidRPr="0059065B">
        <w:rPr>
          <w:rFonts w:asciiTheme="minorHAnsi" w:hAnsiTheme="minorHAnsi"/>
          <w:sz w:val="18"/>
          <w:szCs w:val="18"/>
          <w:lang w:val="en-GB"/>
        </w:rPr>
        <w:t xml:space="preserve"> “</w:t>
      </w:r>
      <w:r w:rsidRPr="0059065B">
        <w:rPr>
          <w:rFonts w:asciiTheme="minorHAnsi" w:hAnsiTheme="minorHAnsi"/>
          <w:sz w:val="18"/>
          <w:szCs w:val="18"/>
        </w:rPr>
        <w:t>Detecting Horizontal Intervals Prone to Production Problems by Novel LWD Measurements,” WSEOR, Xi’an, China, 25-28 April, 2012.</w:t>
      </w:r>
    </w:p>
    <w:p w14:paraId="0216BD15" w14:textId="77777777" w:rsidR="0059065B" w:rsidRPr="0059065B" w:rsidRDefault="0059065B" w:rsidP="0059065B">
      <w:pPr>
        <w:widowControl/>
        <w:numPr>
          <w:ilvl w:val="0"/>
          <w:numId w:val="4"/>
        </w:numPr>
        <w:jc w:val="both"/>
        <w:rPr>
          <w:rFonts w:asciiTheme="minorHAnsi" w:hAnsiTheme="minorHAnsi"/>
          <w:i/>
          <w:iCs/>
          <w:sz w:val="18"/>
          <w:szCs w:val="18"/>
        </w:rPr>
      </w:pPr>
      <w:r w:rsidRPr="0059065B">
        <w:rPr>
          <w:rFonts w:asciiTheme="minorHAnsi" w:hAnsiTheme="minorHAnsi"/>
          <w:sz w:val="18"/>
          <w:szCs w:val="18"/>
        </w:rPr>
        <w:t xml:space="preserve">Zhang, L, </w:t>
      </w:r>
      <w:r w:rsidRPr="0059065B">
        <w:rPr>
          <w:rFonts w:asciiTheme="minorHAnsi" w:hAnsiTheme="minorHAnsi"/>
          <w:bCs/>
          <w:sz w:val="18"/>
          <w:szCs w:val="18"/>
        </w:rPr>
        <w:t>Jalali, Y.:</w:t>
      </w:r>
      <w:r w:rsidRPr="0059065B">
        <w:rPr>
          <w:rFonts w:asciiTheme="minorHAnsi" w:hAnsiTheme="minorHAnsi"/>
          <w:sz w:val="18"/>
          <w:szCs w:val="18"/>
        </w:rPr>
        <w:t xml:space="preserve"> “Well Productivity Estimation during Drilling,” extended abstract presented at the EAGE Workshop on </w:t>
      </w:r>
      <w:proofErr w:type="spellStart"/>
      <w:r w:rsidRPr="0059065B">
        <w:rPr>
          <w:rFonts w:asciiTheme="minorHAnsi" w:hAnsiTheme="minorHAnsi"/>
          <w:sz w:val="18"/>
          <w:szCs w:val="18"/>
        </w:rPr>
        <w:t>Geosteering</w:t>
      </w:r>
      <w:proofErr w:type="spellEnd"/>
      <w:r w:rsidRPr="0059065B">
        <w:rPr>
          <w:rFonts w:asciiTheme="minorHAnsi" w:hAnsiTheme="minorHAnsi"/>
          <w:sz w:val="18"/>
          <w:szCs w:val="18"/>
        </w:rPr>
        <w:t xml:space="preserve"> and Well Placement, Dubai, UAE, 7-10 November 2010.</w:t>
      </w:r>
    </w:p>
    <w:p w14:paraId="3D607478" w14:textId="77777777" w:rsidR="0059065B" w:rsidRPr="0059065B" w:rsidRDefault="0059065B" w:rsidP="0059065B">
      <w:pPr>
        <w:widowControl/>
        <w:numPr>
          <w:ilvl w:val="0"/>
          <w:numId w:val="4"/>
        </w:numPr>
        <w:jc w:val="both"/>
        <w:rPr>
          <w:rFonts w:asciiTheme="minorHAnsi" w:hAnsiTheme="minorHAnsi"/>
          <w:sz w:val="18"/>
          <w:szCs w:val="18"/>
        </w:rPr>
      </w:pPr>
      <w:proofErr w:type="spellStart"/>
      <w:r w:rsidRPr="0059065B">
        <w:rPr>
          <w:rFonts w:asciiTheme="minorHAnsi" w:hAnsiTheme="minorHAnsi"/>
          <w:sz w:val="18"/>
          <w:szCs w:val="18"/>
        </w:rPr>
        <w:t>Huo</w:t>
      </w:r>
      <w:proofErr w:type="spellEnd"/>
      <w:r w:rsidRPr="0059065B">
        <w:rPr>
          <w:rFonts w:asciiTheme="minorHAnsi" w:hAnsiTheme="minorHAnsi"/>
          <w:sz w:val="18"/>
          <w:szCs w:val="18"/>
        </w:rPr>
        <w:t xml:space="preserve">, D., </w:t>
      </w:r>
      <w:r w:rsidRPr="0059065B">
        <w:rPr>
          <w:rFonts w:asciiTheme="minorHAnsi" w:hAnsiTheme="minorHAnsi"/>
          <w:bCs/>
          <w:sz w:val="18"/>
          <w:szCs w:val="18"/>
        </w:rPr>
        <w:t>Jalali, Y.:</w:t>
      </w:r>
      <w:r w:rsidRPr="0059065B">
        <w:rPr>
          <w:rFonts w:asciiTheme="minorHAnsi" w:hAnsiTheme="minorHAnsi"/>
          <w:sz w:val="18"/>
          <w:szCs w:val="18"/>
        </w:rPr>
        <w:t xml:space="preserve"> “An Analysis of CO2 Storage Prospects in Deep Saline Reservoirs,” paper SPE 136077 presented at the SPE Production and Operations Conference and Exhibition, Tunis, Tunisia, 8-10 June 2010. </w:t>
      </w:r>
    </w:p>
    <w:p w14:paraId="3860EF05" w14:textId="77777777" w:rsidR="0059065B" w:rsidRPr="0059065B" w:rsidRDefault="0059065B" w:rsidP="0059065B">
      <w:pPr>
        <w:widowControl/>
        <w:numPr>
          <w:ilvl w:val="0"/>
          <w:numId w:val="4"/>
        </w:numPr>
        <w:jc w:val="both"/>
        <w:rPr>
          <w:rFonts w:asciiTheme="minorHAnsi" w:hAnsiTheme="minorHAnsi"/>
          <w:sz w:val="18"/>
          <w:szCs w:val="18"/>
        </w:rPr>
      </w:pPr>
      <w:r w:rsidRPr="0059065B">
        <w:rPr>
          <w:rFonts w:asciiTheme="minorHAnsi" w:hAnsiTheme="minorHAnsi"/>
          <w:sz w:val="18"/>
          <w:szCs w:val="18"/>
        </w:rPr>
        <w:t xml:space="preserve">Zhang, L., Jalali, Y.: “Estimation and Utility of Well Productivity during Drilling,” paper SPE 130811 presented at the International Oil and Gas Conference and Exhibition, Beijing, China, 8-10 June 2010. </w:t>
      </w:r>
    </w:p>
    <w:p w14:paraId="04520355" w14:textId="77777777" w:rsidR="00AE3E37" w:rsidRPr="008756E6" w:rsidRDefault="00AE3E37" w:rsidP="008756E6">
      <w:pPr>
        <w:tabs>
          <w:tab w:val="left" w:pos="384"/>
        </w:tabs>
        <w:ind w:right="117"/>
      </w:pPr>
    </w:p>
    <w:p w14:paraId="36D4CB2C" w14:textId="4E4D8AE8" w:rsidR="00D21D71" w:rsidRDefault="008756E6" w:rsidP="00D21D71">
      <w:pPr>
        <w:spacing w:line="200" w:lineRule="exact"/>
        <w:jc w:val="both"/>
        <w:rPr>
          <w:rFonts w:ascii="Calibri" w:hAnsi="Calibri"/>
        </w:rPr>
      </w:pPr>
      <w:r>
        <w:rPr>
          <w:rFonts w:ascii="Calibri" w:hAnsi="Calibri"/>
        </w:rPr>
        <w:t xml:space="preserve">   </w:t>
      </w:r>
      <w:r w:rsidR="00D21D71">
        <w:rPr>
          <w:rFonts w:ascii="Calibri" w:hAnsi="Calibri"/>
          <w:noProof/>
        </w:rPr>
        <w:drawing>
          <wp:inline distT="0" distB="0" distL="0" distR="0" wp14:anchorId="5D707EE2" wp14:editId="44D8F0D1">
            <wp:extent cx="3161665" cy="2412365"/>
            <wp:effectExtent l="0" t="0" r="0" b="635"/>
            <wp:docPr id="3" name="Picture 3" descr="/Users/younesjalali/Desktop/Screen Shot 2020-09-13 at 3.00.3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younesjalali/Desktop/Screen Shot 2020-09-13 at 3.00.34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1665" cy="2412365"/>
                    </a:xfrm>
                    <a:prstGeom prst="rect">
                      <a:avLst/>
                    </a:prstGeom>
                    <a:noFill/>
                    <a:ln>
                      <a:noFill/>
                    </a:ln>
                  </pic:spPr>
                </pic:pic>
              </a:graphicData>
            </a:graphic>
          </wp:inline>
        </w:drawing>
      </w:r>
    </w:p>
    <w:p w14:paraId="70FA748E" w14:textId="77777777" w:rsidR="00D21D71" w:rsidRDefault="00D21D71" w:rsidP="00D21D71">
      <w:pPr>
        <w:spacing w:before="92"/>
        <w:ind w:right="4234"/>
        <w:rPr>
          <w:rFonts w:ascii="Arial"/>
        </w:rPr>
      </w:pPr>
      <w:r w:rsidRPr="005B0656">
        <w:rPr>
          <w:noProof/>
        </w:rPr>
        <w:drawing>
          <wp:inline distT="0" distB="0" distL="0" distR="0" wp14:anchorId="57209E89" wp14:editId="408C3161">
            <wp:extent cx="600372" cy="798069"/>
            <wp:effectExtent l="0" t="0" r="9525" b="0"/>
            <wp:docPr id="12" name="Picture 12" descr="Younes-Jalali-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ounes-Jalali-pho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5939" cy="805470"/>
                    </a:xfrm>
                    <a:prstGeom prst="rect">
                      <a:avLst/>
                    </a:prstGeom>
                    <a:noFill/>
                    <a:ln>
                      <a:noFill/>
                    </a:ln>
                  </pic:spPr>
                </pic:pic>
              </a:graphicData>
            </a:graphic>
          </wp:inline>
        </w:drawing>
      </w:r>
      <w:r>
        <w:rPr>
          <w:rFonts w:ascii="Arial"/>
          <w:color w:val="BF5A14"/>
        </w:rPr>
        <w:t>Biography</w:t>
      </w:r>
    </w:p>
    <w:p w14:paraId="53564D97" w14:textId="5DB227DC" w:rsidR="00D21D71" w:rsidRDefault="00D21D71" w:rsidP="00D21D71">
      <w:pPr>
        <w:rPr>
          <w:rFonts w:eastAsia="Times New Roman"/>
          <w:color w:val="000000"/>
          <w:sz w:val="18"/>
          <w:szCs w:val="18"/>
        </w:rPr>
      </w:pPr>
      <w:r w:rsidRPr="00E567E3">
        <w:rPr>
          <w:rFonts w:eastAsia="Times New Roman"/>
          <w:color w:val="000000"/>
          <w:sz w:val="18"/>
          <w:szCs w:val="18"/>
        </w:rPr>
        <w:t xml:space="preserve">Younes Jalali is </w:t>
      </w:r>
      <w:r w:rsidR="0088693E">
        <w:rPr>
          <w:rFonts w:eastAsia="Times New Roman"/>
          <w:color w:val="000000"/>
          <w:sz w:val="18"/>
          <w:szCs w:val="18"/>
        </w:rPr>
        <w:t xml:space="preserve">a </w:t>
      </w:r>
      <w:r w:rsidRPr="00E567E3">
        <w:rPr>
          <w:rFonts w:eastAsia="Times New Roman"/>
          <w:color w:val="000000"/>
          <w:sz w:val="18"/>
          <w:szCs w:val="18"/>
        </w:rPr>
        <w:t>for</w:t>
      </w:r>
      <w:r w:rsidR="0088693E">
        <w:rPr>
          <w:rFonts w:eastAsia="Times New Roman"/>
          <w:color w:val="000000"/>
          <w:sz w:val="18"/>
          <w:szCs w:val="18"/>
        </w:rPr>
        <w:t>mer faculty of</w:t>
      </w:r>
      <w:r w:rsidR="007A256C">
        <w:rPr>
          <w:rFonts w:eastAsia="Times New Roman"/>
          <w:color w:val="000000"/>
          <w:sz w:val="18"/>
          <w:szCs w:val="18"/>
        </w:rPr>
        <w:t xml:space="preserve"> Stanford University</w:t>
      </w:r>
      <w:r w:rsidRPr="00E567E3">
        <w:rPr>
          <w:rFonts w:eastAsia="Times New Roman"/>
          <w:color w:val="000000"/>
          <w:sz w:val="18"/>
          <w:szCs w:val="18"/>
        </w:rPr>
        <w:t xml:space="preserve"> (School of Earth Sciences</w:t>
      </w:r>
      <w:r>
        <w:rPr>
          <w:rFonts w:eastAsia="Times New Roman"/>
          <w:color w:val="000000"/>
          <w:sz w:val="18"/>
          <w:szCs w:val="18"/>
        </w:rPr>
        <w:t>, 1987-1990</w:t>
      </w:r>
      <w:r w:rsidR="0088693E">
        <w:rPr>
          <w:rFonts w:eastAsia="Times New Roman"/>
          <w:color w:val="000000"/>
          <w:sz w:val="18"/>
          <w:szCs w:val="18"/>
        </w:rPr>
        <w:t>), Scientific Advisor at</w:t>
      </w:r>
      <w:r w:rsidRPr="00E567E3">
        <w:rPr>
          <w:rFonts w:eastAsia="Times New Roman"/>
          <w:color w:val="000000"/>
          <w:sz w:val="18"/>
          <w:szCs w:val="18"/>
        </w:rPr>
        <w:t xml:space="preserve"> Schlumberger</w:t>
      </w:r>
      <w:r>
        <w:rPr>
          <w:rFonts w:eastAsia="Times New Roman"/>
          <w:color w:val="000000"/>
          <w:sz w:val="18"/>
          <w:szCs w:val="18"/>
        </w:rPr>
        <w:t xml:space="preserve"> (1990-2017)</w:t>
      </w:r>
      <w:r w:rsidRPr="00E567E3">
        <w:rPr>
          <w:rFonts w:eastAsia="Times New Roman"/>
          <w:color w:val="000000"/>
          <w:sz w:val="18"/>
          <w:szCs w:val="18"/>
        </w:rPr>
        <w:t>, Distinguished Lecturer of SPE (Society of Petroleum Engineers</w:t>
      </w:r>
      <w:r>
        <w:rPr>
          <w:rFonts w:eastAsia="Times New Roman"/>
          <w:color w:val="000000"/>
          <w:sz w:val="18"/>
          <w:szCs w:val="18"/>
        </w:rPr>
        <w:t>, 2009-2010</w:t>
      </w:r>
      <w:r w:rsidRPr="00E567E3">
        <w:rPr>
          <w:rFonts w:eastAsia="Times New Roman"/>
          <w:color w:val="000000"/>
          <w:sz w:val="18"/>
          <w:szCs w:val="18"/>
        </w:rPr>
        <w:t>), and worked in Japan in the</w:t>
      </w:r>
      <w:r>
        <w:rPr>
          <w:rFonts w:eastAsia="Times New Roman"/>
          <w:color w:val="000000"/>
          <w:sz w:val="18"/>
          <w:szCs w:val="18"/>
        </w:rPr>
        <w:t xml:space="preserve"> aftermath of Fukushima (</w:t>
      </w:r>
      <w:r w:rsidRPr="00E567E3">
        <w:rPr>
          <w:rFonts w:eastAsia="Times New Roman"/>
          <w:color w:val="000000"/>
          <w:sz w:val="18"/>
          <w:szCs w:val="18"/>
        </w:rPr>
        <w:t>2013-2017</w:t>
      </w:r>
      <w:r>
        <w:rPr>
          <w:rFonts w:eastAsia="Times New Roman"/>
          <w:color w:val="000000"/>
          <w:sz w:val="18"/>
          <w:szCs w:val="18"/>
        </w:rPr>
        <w:t>)</w:t>
      </w:r>
      <w:r w:rsidRPr="00E567E3">
        <w:rPr>
          <w:rFonts w:eastAsia="Times New Roman"/>
          <w:color w:val="000000"/>
          <w:sz w:val="18"/>
          <w:szCs w:val="18"/>
        </w:rPr>
        <w:t>. </w:t>
      </w:r>
    </w:p>
    <w:p w14:paraId="1C8337A5" w14:textId="216A6DB3" w:rsidR="00D21D71" w:rsidRPr="0088693E" w:rsidRDefault="00D21D71" w:rsidP="0088693E">
      <w:pPr>
        <w:ind w:firstLine="720"/>
        <w:rPr>
          <w:rFonts w:eastAsia="Times New Roman"/>
          <w:color w:val="000000"/>
          <w:sz w:val="18"/>
          <w:szCs w:val="18"/>
        </w:rPr>
        <w:sectPr w:rsidR="00D21D71" w:rsidRPr="0088693E">
          <w:type w:val="continuous"/>
          <w:pgSz w:w="11910" w:h="16840"/>
          <w:pgMar w:top="1740" w:right="600" w:bottom="840" w:left="620" w:header="720" w:footer="720" w:gutter="0"/>
          <w:cols w:num="2" w:space="720" w:equalWidth="0">
            <w:col w:w="5214" w:space="138"/>
            <w:col w:w="5338"/>
          </w:cols>
        </w:sectPr>
      </w:pPr>
      <w:r>
        <w:rPr>
          <w:rFonts w:eastAsia="Times New Roman"/>
          <w:color w:val="000000"/>
          <w:sz w:val="18"/>
          <w:szCs w:val="18"/>
        </w:rPr>
        <w:t>Email: Younes.</w:t>
      </w:r>
      <w:r w:rsidR="0088693E">
        <w:rPr>
          <w:rFonts w:eastAsia="Times New Roman"/>
          <w:color w:val="000000"/>
          <w:sz w:val="18"/>
          <w:szCs w:val="18"/>
        </w:rPr>
        <w:t>Jalali@gmail.com</w:t>
      </w:r>
    </w:p>
    <w:bookmarkStart w:id="0" w:name="_GoBack"/>
    <w:p w14:paraId="28DE2D1B" w14:textId="7372486C" w:rsidR="00AE3E37" w:rsidRPr="00D21D71" w:rsidRDefault="00292ED9" w:rsidP="0088693E">
      <w:pPr>
        <w:pStyle w:val="BodyText"/>
        <w:spacing w:line="40" w:lineRule="exact"/>
        <w:ind w:left="1440" w:firstLine="720"/>
        <w:rPr>
          <w:rFonts w:ascii="Calibri"/>
          <w:sz w:val="4"/>
        </w:rPr>
        <w:sectPr w:rsidR="00AE3E37" w:rsidRPr="00D21D71">
          <w:type w:val="continuous"/>
          <w:pgSz w:w="11910" w:h="16840"/>
          <w:pgMar w:top="1740" w:right="600" w:bottom="840" w:left="620" w:header="720" w:footer="720" w:gutter="0"/>
          <w:cols w:space="720"/>
        </w:sectPr>
      </w:pPr>
      <w:r>
        <w:rPr>
          <w:rFonts w:ascii="Calibri"/>
          <w:noProof/>
          <w:sz w:val="4"/>
        </w:rPr>
        <w:lastRenderedPageBreak/>
        <mc:AlternateContent>
          <mc:Choice Requires="wpg">
            <w:drawing>
              <wp:inline distT="0" distB="0" distL="0" distR="0" wp14:anchorId="0D8E9DCE" wp14:editId="3348976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bookmarkEnd w:id="0"/>
    </w:p>
    <w:p w14:paraId="6E75362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FDC481" w14:textId="77777777" w:rsidR="00D27966" w:rsidRDefault="00D27966">
      <w:r>
        <w:separator/>
      </w:r>
    </w:p>
  </w:endnote>
  <w:endnote w:type="continuationSeparator" w:id="0">
    <w:p w14:paraId="20FADE65" w14:textId="77777777" w:rsidR="00D27966" w:rsidRDefault="00D27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8AC41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194E190" wp14:editId="079E377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8607D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CE7B40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94E190"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3C8607D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CE7B40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BC1B3A1" wp14:editId="31150F9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D2D75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9C9A8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1B3A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65D2D75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9C9A8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002EC9E" wp14:editId="5B3C330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718A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1E8DA3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2EC9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572718A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1E8DA3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955185" w14:textId="77777777" w:rsidR="00D27966" w:rsidRDefault="00D27966">
      <w:r>
        <w:separator/>
      </w:r>
    </w:p>
  </w:footnote>
  <w:footnote w:type="continuationSeparator" w:id="0">
    <w:p w14:paraId="37AA96C8" w14:textId="77777777" w:rsidR="00D27966" w:rsidRDefault="00D2796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F947C2"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C9BCC25" wp14:editId="0FF3754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7F68C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BCC25"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2F7F68C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09E78D86" wp14:editId="132D07E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C587F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FF06C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78D8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31C587F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FF06C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A6330A"/>
    <w:multiLevelType w:val="hybridMultilevel"/>
    <w:tmpl w:val="406022E4"/>
    <w:lvl w:ilvl="0" w:tplc="6C7E7F72">
      <w:start w:val="1"/>
      <w:numFmt w:val="decimal"/>
      <w:lvlText w:val="%1."/>
      <w:lvlJc w:val="left"/>
      <w:pPr>
        <w:tabs>
          <w:tab w:val="num" w:pos="720"/>
        </w:tabs>
        <w:ind w:left="72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0FDD"/>
    <w:rsid w:val="000B2E51"/>
    <w:rsid w:val="000E2911"/>
    <w:rsid w:val="001263DF"/>
    <w:rsid w:val="002455EC"/>
    <w:rsid w:val="00292ED9"/>
    <w:rsid w:val="00404E5B"/>
    <w:rsid w:val="00414F7B"/>
    <w:rsid w:val="004355DC"/>
    <w:rsid w:val="004749B4"/>
    <w:rsid w:val="00494130"/>
    <w:rsid w:val="004F3523"/>
    <w:rsid w:val="0059065B"/>
    <w:rsid w:val="005973B9"/>
    <w:rsid w:val="005B3A56"/>
    <w:rsid w:val="006060CE"/>
    <w:rsid w:val="0063497F"/>
    <w:rsid w:val="007A256C"/>
    <w:rsid w:val="00873DF0"/>
    <w:rsid w:val="008756E6"/>
    <w:rsid w:val="0088693E"/>
    <w:rsid w:val="008A08B6"/>
    <w:rsid w:val="008D226B"/>
    <w:rsid w:val="009559F0"/>
    <w:rsid w:val="009B2D44"/>
    <w:rsid w:val="00A07E82"/>
    <w:rsid w:val="00A9710C"/>
    <w:rsid w:val="00AE3E37"/>
    <w:rsid w:val="00B21A57"/>
    <w:rsid w:val="00B62923"/>
    <w:rsid w:val="00C33602"/>
    <w:rsid w:val="00C727D0"/>
    <w:rsid w:val="00CD6F55"/>
    <w:rsid w:val="00D21D71"/>
    <w:rsid w:val="00D27966"/>
    <w:rsid w:val="00DE3104"/>
    <w:rsid w:val="00E26B10"/>
    <w:rsid w:val="00E567E3"/>
    <w:rsid w:val="00E70DAF"/>
    <w:rsid w:val="00F72EEA"/>
    <w:rsid w:val="00F84CAE"/>
    <w:rsid w:val="00FC55FC"/>
    <w:rsid w:val="00FE5EB6"/>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419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84021637">
      <w:bodyDiv w:val="1"/>
      <w:marLeft w:val="0"/>
      <w:marRight w:val="0"/>
      <w:marTop w:val="0"/>
      <w:marBottom w:val="0"/>
      <w:divBdr>
        <w:top w:val="none" w:sz="0" w:space="0" w:color="auto"/>
        <w:left w:val="none" w:sz="0" w:space="0" w:color="auto"/>
        <w:bottom w:val="none" w:sz="0" w:space="0" w:color="auto"/>
        <w:right w:val="none" w:sz="0" w:space="0" w:color="auto"/>
      </w:divBdr>
      <w:divsChild>
        <w:div w:id="1365519732">
          <w:marLeft w:val="0"/>
          <w:marRight w:val="0"/>
          <w:marTop w:val="0"/>
          <w:marBottom w:val="0"/>
          <w:divBdr>
            <w:top w:val="none" w:sz="0" w:space="0" w:color="auto"/>
            <w:left w:val="none" w:sz="0" w:space="0" w:color="auto"/>
            <w:bottom w:val="none" w:sz="0" w:space="0" w:color="auto"/>
            <w:right w:val="none" w:sz="0" w:space="0" w:color="auto"/>
          </w:divBdr>
        </w:div>
        <w:div w:id="1657340496">
          <w:marLeft w:val="0"/>
          <w:marRight w:val="0"/>
          <w:marTop w:val="0"/>
          <w:marBottom w:val="0"/>
          <w:divBdr>
            <w:top w:val="none" w:sz="0" w:space="0" w:color="auto"/>
            <w:left w:val="none" w:sz="0" w:space="0" w:color="auto"/>
            <w:bottom w:val="none" w:sz="0" w:space="0" w:color="auto"/>
            <w:right w:val="none" w:sz="0" w:space="0" w:color="auto"/>
          </w:divBdr>
        </w:div>
        <w:div w:id="1087071705">
          <w:marLeft w:val="0"/>
          <w:marRight w:val="0"/>
          <w:marTop w:val="0"/>
          <w:marBottom w:val="0"/>
          <w:divBdr>
            <w:top w:val="none" w:sz="0" w:space="0" w:color="auto"/>
            <w:left w:val="none" w:sz="0" w:space="0" w:color="auto"/>
            <w:bottom w:val="none" w:sz="0" w:space="0" w:color="auto"/>
            <w:right w:val="none" w:sz="0" w:space="0" w:color="auto"/>
          </w:divBdr>
        </w:div>
        <w:div w:id="1777866181">
          <w:marLeft w:val="0"/>
          <w:marRight w:val="0"/>
          <w:marTop w:val="0"/>
          <w:marBottom w:val="0"/>
          <w:divBdr>
            <w:top w:val="none" w:sz="0" w:space="0" w:color="auto"/>
            <w:left w:val="none" w:sz="0" w:space="0" w:color="auto"/>
            <w:bottom w:val="none" w:sz="0" w:space="0" w:color="auto"/>
            <w:right w:val="none" w:sz="0" w:space="0" w:color="auto"/>
          </w:divBdr>
        </w:div>
        <w:div w:id="1138301993">
          <w:marLeft w:val="0"/>
          <w:marRight w:val="0"/>
          <w:marTop w:val="0"/>
          <w:marBottom w:val="0"/>
          <w:divBdr>
            <w:top w:val="none" w:sz="0" w:space="0" w:color="auto"/>
            <w:left w:val="none" w:sz="0" w:space="0" w:color="auto"/>
            <w:bottom w:val="none" w:sz="0" w:space="0" w:color="auto"/>
            <w:right w:val="none" w:sz="0" w:space="0" w:color="auto"/>
          </w:divBdr>
        </w:div>
        <w:div w:id="1741714626">
          <w:marLeft w:val="0"/>
          <w:marRight w:val="0"/>
          <w:marTop w:val="0"/>
          <w:marBottom w:val="0"/>
          <w:divBdr>
            <w:top w:val="none" w:sz="0" w:space="0" w:color="auto"/>
            <w:left w:val="none" w:sz="0" w:space="0" w:color="auto"/>
            <w:bottom w:val="none" w:sz="0" w:space="0" w:color="auto"/>
            <w:right w:val="none" w:sz="0" w:space="0" w:color="auto"/>
          </w:divBdr>
        </w:div>
        <w:div w:id="1332373544">
          <w:marLeft w:val="0"/>
          <w:marRight w:val="0"/>
          <w:marTop w:val="0"/>
          <w:marBottom w:val="0"/>
          <w:divBdr>
            <w:top w:val="none" w:sz="0" w:space="0" w:color="auto"/>
            <w:left w:val="none" w:sz="0" w:space="0" w:color="auto"/>
            <w:bottom w:val="none" w:sz="0" w:space="0" w:color="auto"/>
            <w:right w:val="none" w:sz="0" w:space="0" w:color="auto"/>
          </w:divBdr>
        </w:div>
        <w:div w:id="1556816447">
          <w:marLeft w:val="0"/>
          <w:marRight w:val="0"/>
          <w:marTop w:val="0"/>
          <w:marBottom w:val="0"/>
          <w:divBdr>
            <w:top w:val="none" w:sz="0" w:space="0" w:color="auto"/>
            <w:left w:val="none" w:sz="0" w:space="0" w:color="auto"/>
            <w:bottom w:val="none" w:sz="0" w:space="0" w:color="auto"/>
            <w:right w:val="none" w:sz="0" w:space="0" w:color="auto"/>
          </w:divBdr>
        </w:div>
        <w:div w:id="1499996939">
          <w:marLeft w:val="0"/>
          <w:marRight w:val="0"/>
          <w:marTop w:val="0"/>
          <w:marBottom w:val="0"/>
          <w:divBdr>
            <w:top w:val="none" w:sz="0" w:space="0" w:color="auto"/>
            <w:left w:val="none" w:sz="0" w:space="0" w:color="auto"/>
            <w:bottom w:val="none" w:sz="0" w:space="0" w:color="auto"/>
            <w:right w:val="none" w:sz="0" w:space="0" w:color="auto"/>
          </w:divBdr>
        </w:div>
        <w:div w:id="2121217661">
          <w:marLeft w:val="0"/>
          <w:marRight w:val="0"/>
          <w:marTop w:val="0"/>
          <w:marBottom w:val="0"/>
          <w:divBdr>
            <w:top w:val="none" w:sz="0" w:space="0" w:color="auto"/>
            <w:left w:val="none" w:sz="0" w:space="0" w:color="auto"/>
            <w:bottom w:val="none" w:sz="0" w:space="0" w:color="auto"/>
            <w:right w:val="none" w:sz="0" w:space="0" w:color="auto"/>
          </w:divBdr>
        </w:div>
        <w:div w:id="1912546484">
          <w:marLeft w:val="0"/>
          <w:marRight w:val="0"/>
          <w:marTop w:val="0"/>
          <w:marBottom w:val="0"/>
          <w:divBdr>
            <w:top w:val="none" w:sz="0" w:space="0" w:color="auto"/>
            <w:left w:val="none" w:sz="0" w:space="0" w:color="auto"/>
            <w:bottom w:val="none" w:sz="0" w:space="0" w:color="auto"/>
            <w:right w:val="none" w:sz="0" w:space="0" w:color="auto"/>
          </w:divBdr>
        </w:div>
        <w:div w:id="559948750">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806</Words>
  <Characters>4595</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Younes Jalali</cp:lastModifiedBy>
  <cp:revision>2</cp:revision>
  <dcterms:created xsi:type="dcterms:W3CDTF">2020-09-13T08:26:00Z</dcterms:created>
  <dcterms:modified xsi:type="dcterms:W3CDTF">2020-09-13T08:26:00Z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