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9710C" w:rsidP="008E1DE4">
      <w:pPr>
        <w:pStyle w:val="Titre1"/>
        <w:spacing w:before="170"/>
        <w:ind w:left="0"/>
      </w:pPr>
      <w:r>
        <w:rPr>
          <w:color w:val="337AB7"/>
        </w:rPr>
        <w:t xml:space="preserve">Women, </w:t>
      </w:r>
      <w:r w:rsidR="008E1DE4">
        <w:rPr>
          <w:color w:val="337AB7"/>
        </w:rPr>
        <w:t xml:space="preserve">Physiological changes and yield of </w:t>
      </w:r>
      <w:proofErr w:type="spellStart"/>
      <w:r w:rsidR="008E1DE4" w:rsidRPr="008E1DE4">
        <w:rPr>
          <w:i/>
          <w:iCs/>
          <w:color w:val="337AB7"/>
        </w:rPr>
        <w:t>Solanum</w:t>
      </w:r>
      <w:proofErr w:type="spellEnd"/>
      <w:r w:rsidR="008E1DE4" w:rsidRPr="008E1DE4">
        <w:rPr>
          <w:i/>
          <w:iCs/>
          <w:color w:val="337AB7"/>
        </w:rPr>
        <w:t xml:space="preserve"> </w:t>
      </w:r>
      <w:proofErr w:type="spellStart"/>
      <w:r w:rsidR="008E1DE4" w:rsidRPr="008E1DE4">
        <w:rPr>
          <w:i/>
          <w:iCs/>
          <w:color w:val="337AB7"/>
        </w:rPr>
        <w:t>lycopersicum</w:t>
      </w:r>
      <w:proofErr w:type="spellEnd"/>
      <w:r w:rsidR="008E1DE4">
        <w:rPr>
          <w:color w:val="337AB7"/>
        </w:rPr>
        <w:t xml:space="preserve"> in different microclimates</w:t>
      </w:r>
    </w:p>
    <w:p w:rsidR="005973B9" w:rsidRDefault="005973B9" w:rsidP="00D230D7">
      <w:pPr>
        <w:pStyle w:val="Corpsdetexte"/>
        <w:spacing w:before="73" w:line="198" w:lineRule="exact"/>
        <w:ind w:left="100" w:right="1476"/>
        <w:rPr>
          <w:rFonts w:ascii="Arial"/>
        </w:rPr>
      </w:pPr>
      <w:proofErr w:type="spellStart"/>
      <w:r>
        <w:rPr>
          <w:rFonts w:ascii="Arial"/>
        </w:rPr>
        <w:t>D</w:t>
      </w:r>
      <w:r w:rsidR="008E1DE4">
        <w:rPr>
          <w:rFonts w:ascii="Arial"/>
        </w:rPr>
        <w:t>ouja</w:t>
      </w:r>
      <w:proofErr w:type="spellEnd"/>
      <w:r>
        <w:rPr>
          <w:rFonts w:ascii="Arial"/>
        </w:rPr>
        <w:t xml:space="preserve"> </w:t>
      </w:r>
      <w:proofErr w:type="spellStart"/>
      <w:r w:rsidR="00D230D7">
        <w:rPr>
          <w:rFonts w:ascii="Arial"/>
        </w:rPr>
        <w:t>Sellami</w:t>
      </w:r>
      <w:proofErr w:type="spellEnd"/>
      <w:r w:rsidR="00D230D7">
        <w:rPr>
          <w:rFonts w:ascii="Arial"/>
        </w:rPr>
        <w:t>,</w:t>
      </w:r>
      <w:r>
        <w:rPr>
          <w:rFonts w:ascii="Arial"/>
        </w:rPr>
        <w:t xml:space="preserve"> PhD, </w:t>
      </w:r>
      <w:r w:rsidR="00D230D7" w:rsidRPr="00D230D7">
        <w:rPr>
          <w:rFonts w:ascii="Arial"/>
        </w:rPr>
        <w:t xml:space="preserve">Laboratory of molecular physiology of plants, Biotechnology center of </w:t>
      </w:r>
      <w:proofErr w:type="spellStart"/>
      <w:r w:rsidR="00D230D7" w:rsidRPr="00D230D7">
        <w:rPr>
          <w:rFonts w:ascii="Arial"/>
        </w:rPr>
        <w:t>Borj</w:t>
      </w:r>
      <w:proofErr w:type="spellEnd"/>
      <w:r w:rsidR="00D230D7" w:rsidRPr="00D230D7">
        <w:rPr>
          <w:rFonts w:ascii="Arial"/>
        </w:rPr>
        <w:t xml:space="preserve"> </w:t>
      </w:r>
      <w:proofErr w:type="spellStart"/>
      <w:r w:rsidR="00D230D7" w:rsidRPr="00D230D7">
        <w:rPr>
          <w:rFonts w:ascii="Arial"/>
        </w:rPr>
        <w:t>Cedria</w:t>
      </w:r>
      <w:proofErr w:type="spellEnd"/>
      <w:r w:rsidR="00D230D7" w:rsidRPr="00D230D7">
        <w:rPr>
          <w:rFonts w:ascii="Arial"/>
        </w:rPr>
        <w:t>, Tunisia</w:t>
      </w:r>
      <w:r w:rsidR="00D230D7">
        <w:rPr>
          <w:rFonts w:ascii="Arial"/>
        </w:rPr>
        <w:t xml:space="preserve"> </w:t>
      </w:r>
      <w:r w:rsidR="00D230D7" w:rsidRPr="00D230D7">
        <w:rPr>
          <w:rFonts w:ascii="Arial"/>
        </w:rPr>
        <w:t xml:space="preserve">Salwa </w:t>
      </w:r>
      <w:proofErr w:type="spellStart"/>
      <w:r w:rsidR="00D230D7" w:rsidRPr="00D230D7">
        <w:rPr>
          <w:rFonts w:ascii="Arial"/>
        </w:rPr>
        <w:t>Bouadila</w:t>
      </w:r>
      <w:proofErr w:type="spellEnd"/>
      <w:r>
        <w:rPr>
          <w:rFonts w:ascii="Arial"/>
        </w:rPr>
        <w:t xml:space="preserve">, PhD, </w:t>
      </w:r>
      <w:r w:rsidR="00D230D7" w:rsidRPr="00D230D7">
        <w:rPr>
          <w:rFonts w:ascii="Arial"/>
        </w:rPr>
        <w:t xml:space="preserve">Laboratory of molecular physiology of plants, Biotechnology center of </w:t>
      </w:r>
      <w:proofErr w:type="spellStart"/>
      <w:r w:rsidR="00D230D7" w:rsidRPr="00D230D7">
        <w:rPr>
          <w:rFonts w:ascii="Arial"/>
        </w:rPr>
        <w:t>Borj</w:t>
      </w:r>
      <w:proofErr w:type="spellEnd"/>
      <w:r w:rsidR="00D230D7" w:rsidRPr="00D230D7">
        <w:rPr>
          <w:rFonts w:ascii="Arial"/>
        </w:rPr>
        <w:t xml:space="preserve"> </w:t>
      </w:r>
      <w:proofErr w:type="spellStart"/>
      <w:r w:rsidR="00D230D7" w:rsidRPr="00D230D7">
        <w:rPr>
          <w:rFonts w:ascii="Arial"/>
        </w:rPr>
        <w:t>Cedria</w:t>
      </w:r>
      <w:proofErr w:type="spellEnd"/>
      <w:r w:rsidR="00D230D7" w:rsidRPr="00D230D7">
        <w:rPr>
          <w:rFonts w:ascii="Arial"/>
        </w:rPr>
        <w:t>, Tunisia</w:t>
      </w:r>
    </w:p>
    <w:p w:rsidR="00AE3E37" w:rsidRPr="00D230D7" w:rsidRDefault="00D230D7" w:rsidP="00D230D7">
      <w:pPr>
        <w:pStyle w:val="Corpsdetexte"/>
        <w:ind w:left="142"/>
        <w:rPr>
          <w:rFonts w:ascii="Arial"/>
        </w:rPr>
      </w:pPr>
      <w:proofErr w:type="spellStart"/>
      <w:r w:rsidRPr="00D230D7">
        <w:rPr>
          <w:rFonts w:ascii="Arial"/>
        </w:rPr>
        <w:t>Asma</w:t>
      </w:r>
      <w:proofErr w:type="spellEnd"/>
      <w:r w:rsidRPr="00D230D7">
        <w:rPr>
          <w:rFonts w:ascii="Arial"/>
        </w:rPr>
        <w:t xml:space="preserve"> Ben Salem-</w:t>
      </w:r>
      <w:proofErr w:type="spellStart"/>
      <w:r w:rsidRPr="00D230D7">
        <w:rPr>
          <w:rFonts w:ascii="Arial"/>
        </w:rPr>
        <w:t>Fnayou</w:t>
      </w:r>
      <w:proofErr w:type="spellEnd"/>
      <w:r>
        <w:rPr>
          <w:rFonts w:ascii="Arial"/>
        </w:rPr>
        <w:t>,</w:t>
      </w:r>
      <w:r w:rsidRPr="00D230D7">
        <w:rPr>
          <w:rFonts w:asciiTheme="majorBidi" w:hAnsiTheme="majorBidi" w:cstheme="majorBidi"/>
          <w:b/>
          <w:bCs/>
          <w:sz w:val="24"/>
          <w:szCs w:val="24"/>
        </w:rPr>
        <w:t xml:space="preserve"> </w:t>
      </w:r>
      <w:r w:rsidRPr="00D230D7">
        <w:rPr>
          <w:rFonts w:ascii="Arial"/>
        </w:rPr>
        <w:t xml:space="preserve">PhD, </w:t>
      </w:r>
      <w:r w:rsidRPr="00D230D7">
        <w:rPr>
          <w:rFonts w:ascii="Arial"/>
        </w:rPr>
        <w:t xml:space="preserve">Laboratory of thermal processes, Research of technologies of Energy Center of </w:t>
      </w:r>
      <w:proofErr w:type="spellStart"/>
      <w:r w:rsidRPr="00D230D7">
        <w:rPr>
          <w:rFonts w:ascii="Arial"/>
        </w:rPr>
        <w:t>Borj</w:t>
      </w:r>
      <w:proofErr w:type="spellEnd"/>
      <w:r w:rsidRPr="00D230D7">
        <w:rPr>
          <w:rFonts w:ascii="Arial"/>
        </w:rPr>
        <w:t xml:space="preserve"> </w:t>
      </w:r>
      <w:proofErr w:type="spellStart"/>
      <w:r w:rsidRPr="00D230D7">
        <w:rPr>
          <w:rFonts w:ascii="Arial"/>
        </w:rPr>
        <w:t>Cedria</w:t>
      </w:r>
      <w:proofErr w:type="spellEnd"/>
      <w:r w:rsidRPr="00D230D7">
        <w:rPr>
          <w:rFonts w:ascii="Arial"/>
        </w:rPr>
        <w:t>, Tunisia</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87B7F">
      <w:pPr>
        <w:pStyle w:val="Titre3"/>
        <w:spacing w:before="147"/>
        <w:jc w:val="both"/>
      </w:pPr>
      <w:r>
        <w:rPr>
          <w:color w:val="BF5A14"/>
        </w:rPr>
        <w:lastRenderedPageBreak/>
        <w:t>Abstract</w:t>
      </w:r>
      <w:r w:rsidR="00404E5B">
        <w:rPr>
          <w:color w:val="BF5A14"/>
        </w:rPr>
        <w:t xml:space="preserve"> </w:t>
      </w:r>
    </w:p>
    <w:p w:rsidR="00D230D7" w:rsidRDefault="00A9710C">
      <w:pPr>
        <w:pStyle w:val="Corpsdetexte"/>
        <w:spacing w:before="90" w:line="280" w:lineRule="auto"/>
        <w:ind w:left="100"/>
        <w:jc w:val="both"/>
      </w:pPr>
      <w:r>
        <w:t xml:space="preserve">Statement </w:t>
      </w:r>
    </w:p>
    <w:p w:rsidR="00D230D7" w:rsidRPr="00D230D7" w:rsidRDefault="00D230D7" w:rsidP="00D230D7">
      <w:pPr>
        <w:pStyle w:val="twunmatched"/>
        <w:spacing w:line="360" w:lineRule="auto"/>
        <w:jc w:val="both"/>
        <w:rPr>
          <w:rFonts w:ascii="Tw Cen MT" w:eastAsia="Tw Cen MT" w:hAnsi="Tw Cen MT" w:cs="Tw Cen MT"/>
          <w:sz w:val="18"/>
          <w:szCs w:val="18"/>
          <w:lang w:val="en-US" w:eastAsia="en-US"/>
        </w:rPr>
      </w:pPr>
      <w:r w:rsidRPr="00D230D7">
        <w:rPr>
          <w:rFonts w:ascii="Tw Cen MT" w:eastAsia="Tw Cen MT" w:hAnsi="Tw Cen MT" w:cs="Tw Cen MT"/>
          <w:sz w:val="18"/>
          <w:szCs w:val="18"/>
          <w:lang w:val="en-US" w:eastAsia="en-US"/>
        </w:rPr>
        <w:t>In the present study, we realized and implemented an experimental device consisting of three chapel-shaped greenhouses of 15 m2 surface each one. The effects of the different microclimatic conditions on photosynthesis, chlorophyll fluorescence characteristics and yield were investigated of tomato plants, grown for 5 months in the three considered greenhouses: a transparent greenhouse "TG", a thermally insulated greenhouse "IG" and a greenhouse insulated and equipped a solar air collector with latent heat storage "IGHLS". Furthermore, the application of heating with Solar Air Heater with Latent Storage Collector (SAHLSC) enhanced photosynthesis by increasing the photosynthesis rate (</w:t>
      </w:r>
      <w:proofErr w:type="spellStart"/>
      <w:r w:rsidRPr="00D230D7">
        <w:rPr>
          <w:rFonts w:ascii="Tw Cen MT" w:eastAsia="Tw Cen MT" w:hAnsi="Tw Cen MT" w:cs="Tw Cen MT"/>
          <w:sz w:val="18"/>
          <w:szCs w:val="18"/>
          <w:lang w:val="en-US" w:eastAsia="en-US"/>
        </w:rPr>
        <w:t>Pn</w:t>
      </w:r>
      <w:proofErr w:type="spellEnd"/>
      <w:r w:rsidRPr="00D230D7">
        <w:rPr>
          <w:rFonts w:ascii="Tw Cen MT" w:eastAsia="Tw Cen MT" w:hAnsi="Tw Cen MT" w:cs="Tw Cen MT"/>
          <w:sz w:val="18"/>
          <w:szCs w:val="18"/>
          <w:lang w:val="en-US" w:eastAsia="en-US"/>
        </w:rPr>
        <w:t>) and the intercellular CO2 concentration (</w:t>
      </w:r>
      <w:proofErr w:type="spellStart"/>
      <w:r w:rsidRPr="00D230D7">
        <w:rPr>
          <w:rFonts w:ascii="Tw Cen MT" w:eastAsia="Tw Cen MT" w:hAnsi="Tw Cen MT" w:cs="Tw Cen MT"/>
          <w:sz w:val="18"/>
          <w:szCs w:val="18"/>
          <w:lang w:val="en-US" w:eastAsia="en-US"/>
        </w:rPr>
        <w:t>Ci</w:t>
      </w:r>
      <w:proofErr w:type="spellEnd"/>
      <w:r w:rsidRPr="00D230D7">
        <w:rPr>
          <w:rFonts w:ascii="Tw Cen MT" w:eastAsia="Tw Cen MT" w:hAnsi="Tw Cen MT" w:cs="Tw Cen MT"/>
          <w:sz w:val="18"/>
          <w:szCs w:val="18"/>
          <w:lang w:val="en-US" w:eastAsia="en-US"/>
        </w:rPr>
        <w:t xml:space="preserve">) of Tomato. This treatment enhanced the activity of the photosynthetic system by increasing </w:t>
      </w:r>
      <w:proofErr w:type="spellStart"/>
      <w:r w:rsidRPr="00D230D7">
        <w:rPr>
          <w:rFonts w:ascii="Tw Cen MT" w:eastAsia="Tw Cen MT" w:hAnsi="Tw Cen MT" w:cs="Tw Cen MT"/>
          <w:sz w:val="18"/>
          <w:szCs w:val="18"/>
          <w:lang w:val="en-US" w:eastAsia="en-US"/>
        </w:rPr>
        <w:t>Fv</w:t>
      </w:r>
      <w:proofErr w:type="spellEnd"/>
      <w:r w:rsidRPr="00D230D7">
        <w:rPr>
          <w:rFonts w:ascii="Tw Cen MT" w:eastAsia="Tw Cen MT" w:hAnsi="Tw Cen MT" w:cs="Tw Cen MT"/>
          <w:sz w:val="18"/>
          <w:szCs w:val="18"/>
          <w:lang w:val="en-US" w:eastAsia="en-US"/>
        </w:rPr>
        <w:t xml:space="preserve">, </w:t>
      </w:r>
      <w:proofErr w:type="spellStart"/>
      <w:r w:rsidRPr="00D230D7">
        <w:rPr>
          <w:rFonts w:ascii="Tw Cen MT" w:eastAsia="Tw Cen MT" w:hAnsi="Tw Cen MT" w:cs="Tw Cen MT"/>
          <w:sz w:val="18"/>
          <w:szCs w:val="18"/>
          <w:lang w:val="en-US" w:eastAsia="en-US"/>
        </w:rPr>
        <w:t>Fm</w:t>
      </w:r>
      <w:proofErr w:type="spellEnd"/>
      <w:r w:rsidRPr="00D230D7">
        <w:rPr>
          <w:rFonts w:ascii="Tw Cen MT" w:eastAsia="Tw Cen MT" w:hAnsi="Tw Cen MT" w:cs="Tw Cen MT"/>
          <w:sz w:val="18"/>
          <w:szCs w:val="18"/>
          <w:lang w:val="en-US" w:eastAsia="en-US"/>
        </w:rPr>
        <w:t xml:space="preserve"> and </w:t>
      </w:r>
      <w:proofErr w:type="spellStart"/>
      <w:r w:rsidRPr="00D230D7">
        <w:rPr>
          <w:rFonts w:ascii="Tw Cen MT" w:eastAsia="Tw Cen MT" w:hAnsi="Tw Cen MT" w:cs="Tw Cen MT"/>
          <w:sz w:val="18"/>
          <w:szCs w:val="18"/>
          <w:lang w:val="en-US" w:eastAsia="en-US"/>
        </w:rPr>
        <w:t>Fv</w:t>
      </w:r>
      <w:proofErr w:type="spellEnd"/>
      <w:r w:rsidRPr="00D230D7">
        <w:rPr>
          <w:rFonts w:ascii="Tw Cen MT" w:eastAsia="Tw Cen MT" w:hAnsi="Tw Cen MT" w:cs="Tw Cen MT"/>
          <w:sz w:val="18"/>
          <w:szCs w:val="18"/>
          <w:lang w:val="en-US" w:eastAsia="en-US"/>
        </w:rPr>
        <w:t>/Fm. The present study suggests that the changes in the photosynthetic system were closely associated with the application of night heating and that an increase of night temperature could induce photosynthesis, thereby increasing the yield of tomato. The photosynthetic or chlorophyll fluorescence parameters could be used to determine the sufficiency of SAHLSC during the production of tomato under greenhouse. So, a signiﬁcant difference in plant yield was observed between the IG and IGHLS.</w:t>
      </w:r>
    </w:p>
    <w:p w:rsidR="00AE3E37" w:rsidRDefault="00A9710C">
      <w:pPr>
        <w:pStyle w:val="Titre3"/>
        <w:spacing w:before="74"/>
      </w:pPr>
      <w:r>
        <w:rPr>
          <w:b w:val="0"/>
        </w:rPr>
        <w:br w:type="column"/>
      </w:r>
      <w:r>
        <w:rPr>
          <w:color w:val="BF5A14"/>
        </w:rPr>
        <w:lastRenderedPageBreak/>
        <w:t>Image</w:t>
      </w:r>
    </w:p>
    <w:tbl>
      <w:tblPr>
        <w:tblStyle w:val="Grilledutableau"/>
        <w:tblW w:w="5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2632"/>
      </w:tblGrid>
      <w:tr w:rsidR="00687B7F" w:rsidRPr="00687B7F" w:rsidTr="00913678">
        <w:tc>
          <w:tcPr>
            <w:tcW w:w="2706" w:type="dxa"/>
          </w:tcPr>
          <w:p w:rsidR="00687B7F" w:rsidRPr="00687B7F" w:rsidRDefault="00687B7F" w:rsidP="00687B7F">
            <w:pPr>
              <w:spacing w:line="480" w:lineRule="auto"/>
              <w:rPr>
                <w:rFonts w:asciiTheme="majorBidi" w:hAnsiTheme="majorBidi" w:cstheme="majorBidi"/>
                <w:sz w:val="20"/>
                <w:szCs w:val="20"/>
                <w:lang w:val="en-US"/>
              </w:rPr>
            </w:pPr>
            <w:r w:rsidRPr="00687B7F">
              <w:rPr>
                <w:rFonts w:asciiTheme="majorBidi" w:hAnsiTheme="majorBidi" w:cstheme="majorBidi"/>
                <w:noProof/>
                <w:sz w:val="20"/>
                <w:szCs w:val="20"/>
              </w:rPr>
              <w:drawing>
                <wp:inline distT="0" distB="0" distL="0" distR="0" wp14:anchorId="77A46739" wp14:editId="7918EB7E">
                  <wp:extent cx="1367651" cy="1276350"/>
                  <wp:effectExtent l="0" t="0" r="4445" b="0"/>
                  <wp:docPr id="2" name="Image 1" descr="C:\Users\CRTEn84\Desktop\Nouveau dossier HR2602\JACS 14092016\Nouveau dossier\Nouveau dossier\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TEn84\Desktop\Nouveau dossier HR2602\JACS 14092016\Nouveau dossier\Nouveau dossier\Fig.2.jpg"/>
                          <pic:cNvPicPr>
                            <a:picLocks noChangeAspect="1" noChangeArrowheads="1"/>
                          </pic:cNvPicPr>
                        </pic:nvPicPr>
                        <pic:blipFill>
                          <a:blip r:embed="rId9"/>
                          <a:srcRect/>
                          <a:stretch>
                            <a:fillRect/>
                          </a:stretch>
                        </pic:blipFill>
                        <pic:spPr bwMode="auto">
                          <a:xfrm>
                            <a:off x="0" y="0"/>
                            <a:ext cx="1381707" cy="1289468"/>
                          </a:xfrm>
                          <a:prstGeom prst="rect">
                            <a:avLst/>
                          </a:prstGeom>
                          <a:noFill/>
                          <a:ln w="9525">
                            <a:noFill/>
                            <a:miter lim="800000"/>
                            <a:headEnd/>
                            <a:tailEnd/>
                          </a:ln>
                        </pic:spPr>
                      </pic:pic>
                    </a:graphicData>
                  </a:graphic>
                </wp:inline>
              </w:drawing>
            </w:r>
          </w:p>
        </w:tc>
        <w:tc>
          <w:tcPr>
            <w:tcW w:w="2632" w:type="dxa"/>
          </w:tcPr>
          <w:p w:rsidR="00687B7F" w:rsidRPr="00687B7F" w:rsidRDefault="00687B7F" w:rsidP="00687B7F">
            <w:pPr>
              <w:spacing w:line="480" w:lineRule="auto"/>
              <w:rPr>
                <w:rFonts w:asciiTheme="majorBidi" w:hAnsiTheme="majorBidi" w:cstheme="majorBidi"/>
                <w:sz w:val="20"/>
                <w:szCs w:val="20"/>
                <w:lang w:val="en-US"/>
              </w:rPr>
            </w:pPr>
            <w:r w:rsidRPr="00687B7F">
              <w:rPr>
                <w:rFonts w:asciiTheme="majorBidi" w:hAnsiTheme="majorBidi" w:cstheme="majorBidi"/>
                <w:noProof/>
                <w:sz w:val="20"/>
                <w:szCs w:val="20"/>
              </w:rPr>
              <w:drawing>
                <wp:inline distT="0" distB="0" distL="0" distR="0" wp14:anchorId="4C0F2F4B" wp14:editId="7D962716">
                  <wp:extent cx="1312944" cy="1393454"/>
                  <wp:effectExtent l="0" t="0" r="1905" b="0"/>
                  <wp:docPr id="3" name="Image 3" descr="C:\Users\CRTEn84\Desktop\Nouveau dossier HR2602\JACS 14092016\Nouveau dossier\Nouveau dossier\Fig.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RTEn84\Desktop\Nouveau dossier HR2602\JACS 14092016\Nouveau dossier\Nouveau dossier\Fig.3.b.jpg"/>
                          <pic:cNvPicPr>
                            <a:picLocks noChangeAspect="1" noChangeArrowheads="1"/>
                          </pic:cNvPicPr>
                        </pic:nvPicPr>
                        <pic:blipFill>
                          <a:blip r:embed="rId10"/>
                          <a:srcRect/>
                          <a:stretch>
                            <a:fillRect/>
                          </a:stretch>
                        </pic:blipFill>
                        <pic:spPr bwMode="auto">
                          <a:xfrm>
                            <a:off x="0" y="0"/>
                            <a:ext cx="1326578" cy="1407924"/>
                          </a:xfrm>
                          <a:prstGeom prst="rect">
                            <a:avLst/>
                          </a:prstGeom>
                          <a:noFill/>
                          <a:ln w="9525">
                            <a:noFill/>
                            <a:miter lim="800000"/>
                            <a:headEnd/>
                            <a:tailEnd/>
                          </a:ln>
                        </pic:spPr>
                      </pic:pic>
                    </a:graphicData>
                  </a:graphic>
                </wp:inline>
              </w:drawing>
            </w:r>
          </w:p>
        </w:tc>
      </w:tr>
    </w:tbl>
    <w:p w:rsidR="005973B9" w:rsidRPr="00687B7F" w:rsidRDefault="00687B7F" w:rsidP="00A94239">
      <w:pPr>
        <w:spacing w:line="480" w:lineRule="auto"/>
        <w:jc w:val="both"/>
        <w:rPr>
          <w:rFonts w:asciiTheme="majorBidi" w:hAnsiTheme="majorBidi" w:cstheme="majorBidi"/>
          <w:sz w:val="20"/>
          <w:szCs w:val="20"/>
        </w:rPr>
      </w:pPr>
      <w:r w:rsidRPr="00687B7F">
        <w:rPr>
          <w:rFonts w:asciiTheme="majorBidi" w:hAnsiTheme="majorBidi" w:cstheme="majorBidi"/>
          <w:b/>
          <w:bCs/>
          <w:sz w:val="20"/>
          <w:szCs w:val="20"/>
        </w:rPr>
        <w:t>Figure 1:</w:t>
      </w:r>
      <w:r w:rsidRPr="00687B7F">
        <w:rPr>
          <w:rFonts w:asciiTheme="majorBidi" w:hAnsiTheme="majorBidi" w:cstheme="majorBidi"/>
          <w:sz w:val="20"/>
          <w:szCs w:val="20"/>
        </w:rPr>
        <w:t xml:space="preserve"> (a) External view of the insulated greenhouse equipped with the solar air heater, (b) schematic section of the SAHLSC </w:t>
      </w:r>
      <w:bookmarkStart w:id="0" w:name="_GoBack"/>
      <w:bookmarkEnd w:id="0"/>
      <w:r w:rsidR="005973B9">
        <w:rPr>
          <w:rFonts w:ascii="Arial"/>
          <w:b/>
          <w:color w:val="BF5A14"/>
          <w:sz w:val="20"/>
        </w:rPr>
        <w:br/>
        <w:t xml:space="preserve">Recent Publications </w:t>
      </w:r>
    </w:p>
    <w:p w:rsidR="00687B7F" w:rsidRPr="00687B7F" w:rsidRDefault="00687B7F" w:rsidP="00687B7F">
      <w:pPr>
        <w:numPr>
          <w:ilvl w:val="0"/>
          <w:numId w:val="4"/>
        </w:numPr>
        <w:spacing w:before="90" w:line="204" w:lineRule="exact"/>
        <w:jc w:val="both"/>
        <w:rPr>
          <w:rFonts w:ascii="Calibri" w:eastAsia="Calibri" w:hAnsi="Calibri" w:cs="Calibri"/>
          <w:sz w:val="18"/>
        </w:rPr>
      </w:pPr>
      <w:proofErr w:type="spellStart"/>
      <w:r w:rsidRPr="00687B7F">
        <w:rPr>
          <w:rFonts w:ascii="Calibri" w:eastAsia="Calibri" w:hAnsi="Calibri" w:cs="Calibri"/>
          <w:sz w:val="18"/>
        </w:rPr>
        <w:t>Candan</w:t>
      </w:r>
      <w:proofErr w:type="spellEnd"/>
      <w:r w:rsidRPr="00687B7F">
        <w:rPr>
          <w:rFonts w:ascii="Calibri" w:eastAsia="Calibri" w:hAnsi="Calibri" w:cs="Calibri"/>
          <w:sz w:val="18"/>
        </w:rPr>
        <w:t xml:space="preserve"> N, </w:t>
      </w:r>
      <w:proofErr w:type="spellStart"/>
      <w:r w:rsidRPr="00687B7F">
        <w:rPr>
          <w:rFonts w:ascii="Calibri" w:eastAsia="Calibri" w:hAnsi="Calibri" w:cs="Calibri"/>
          <w:sz w:val="18"/>
        </w:rPr>
        <w:t>Tarhan</w:t>
      </w:r>
      <w:proofErr w:type="spellEnd"/>
      <w:r w:rsidRPr="00687B7F">
        <w:rPr>
          <w:rFonts w:ascii="Calibri" w:eastAsia="Calibri" w:hAnsi="Calibri" w:cs="Calibri"/>
          <w:sz w:val="18"/>
        </w:rPr>
        <w:t xml:space="preserve"> L (2012) Tolerance or sensitivity responses of </w:t>
      </w:r>
      <w:proofErr w:type="spellStart"/>
      <w:r w:rsidRPr="00687B7F">
        <w:rPr>
          <w:rFonts w:ascii="Calibri" w:eastAsia="Calibri" w:hAnsi="Calibri" w:cs="Calibri"/>
          <w:i/>
          <w:iCs/>
          <w:sz w:val="18"/>
        </w:rPr>
        <w:t>Mentha</w:t>
      </w:r>
      <w:proofErr w:type="spellEnd"/>
      <w:r w:rsidRPr="00687B7F">
        <w:rPr>
          <w:rFonts w:ascii="Calibri" w:eastAsia="Calibri" w:hAnsi="Calibri" w:cs="Calibri"/>
          <w:i/>
          <w:iCs/>
          <w:sz w:val="18"/>
        </w:rPr>
        <w:t xml:space="preserve"> </w:t>
      </w:r>
      <w:proofErr w:type="spellStart"/>
      <w:r w:rsidRPr="00687B7F">
        <w:rPr>
          <w:rFonts w:ascii="Calibri" w:eastAsia="Calibri" w:hAnsi="Calibri" w:cs="Calibri"/>
          <w:i/>
          <w:iCs/>
          <w:sz w:val="18"/>
        </w:rPr>
        <w:t>pulegium</w:t>
      </w:r>
      <w:proofErr w:type="spellEnd"/>
      <w:r w:rsidRPr="00687B7F">
        <w:rPr>
          <w:rFonts w:ascii="Calibri" w:eastAsia="Calibri" w:hAnsi="Calibri" w:cs="Calibri"/>
          <w:sz w:val="18"/>
        </w:rPr>
        <w:t xml:space="preserve"> to osmotic and waterlogging stress in terms of antioxidant defense systems and membrane lipid peroxidation. Environmental and Experimental Botany. 75:83–88.</w:t>
      </w:r>
    </w:p>
    <w:p w:rsidR="00687B7F" w:rsidRPr="00687B7F" w:rsidRDefault="00687B7F" w:rsidP="00687B7F">
      <w:pPr>
        <w:numPr>
          <w:ilvl w:val="0"/>
          <w:numId w:val="4"/>
        </w:numPr>
        <w:spacing w:before="90" w:line="204" w:lineRule="exact"/>
        <w:jc w:val="both"/>
        <w:rPr>
          <w:rFonts w:ascii="Calibri" w:eastAsia="Calibri" w:hAnsi="Calibri" w:cs="Calibri"/>
          <w:sz w:val="18"/>
        </w:rPr>
      </w:pPr>
      <w:r w:rsidRPr="00687B7F">
        <w:rPr>
          <w:rFonts w:ascii="Calibri" w:eastAsia="Calibri" w:hAnsi="Calibri" w:cs="Calibri"/>
          <w:sz w:val="18"/>
        </w:rPr>
        <w:t xml:space="preserve">Cha-um S, </w:t>
      </w:r>
      <w:proofErr w:type="spellStart"/>
      <w:r w:rsidRPr="00687B7F">
        <w:rPr>
          <w:rFonts w:ascii="Calibri" w:eastAsia="Calibri" w:hAnsi="Calibri" w:cs="Calibri"/>
          <w:sz w:val="18"/>
        </w:rPr>
        <w:t>Ulziibat</w:t>
      </w:r>
      <w:proofErr w:type="spellEnd"/>
      <w:r w:rsidRPr="00687B7F">
        <w:rPr>
          <w:rFonts w:ascii="Calibri" w:eastAsia="Calibri" w:hAnsi="Calibri" w:cs="Calibri"/>
          <w:sz w:val="18"/>
        </w:rPr>
        <w:t xml:space="preserve"> B, </w:t>
      </w:r>
      <w:proofErr w:type="spellStart"/>
      <w:r w:rsidRPr="00687B7F">
        <w:rPr>
          <w:rFonts w:ascii="Calibri" w:eastAsia="Calibri" w:hAnsi="Calibri" w:cs="Calibri"/>
          <w:sz w:val="18"/>
        </w:rPr>
        <w:t>Kirdmanee</w:t>
      </w:r>
      <w:proofErr w:type="spellEnd"/>
      <w:r w:rsidRPr="00687B7F">
        <w:rPr>
          <w:rFonts w:ascii="Calibri" w:eastAsia="Calibri" w:hAnsi="Calibri" w:cs="Calibri"/>
          <w:sz w:val="18"/>
        </w:rPr>
        <w:t xml:space="preserve"> C (2010) Effects of temperature and relative humidity during in vitro acclimatization: on physiological changes and growth characters of </w:t>
      </w:r>
      <w:proofErr w:type="spellStart"/>
      <w:r w:rsidRPr="00687B7F">
        <w:rPr>
          <w:rFonts w:ascii="Calibri" w:eastAsia="Calibri" w:hAnsi="Calibri" w:cs="Calibri"/>
          <w:sz w:val="18"/>
        </w:rPr>
        <w:t>Phalaenopsis</w:t>
      </w:r>
      <w:proofErr w:type="spellEnd"/>
      <w:r w:rsidRPr="00687B7F">
        <w:rPr>
          <w:rFonts w:ascii="Calibri" w:eastAsia="Calibri" w:hAnsi="Calibri" w:cs="Calibri"/>
          <w:sz w:val="18"/>
        </w:rPr>
        <w:t xml:space="preserve"> adapted to in vivo. Australian Journal of Crop Science. 4:750–756.</w:t>
      </w:r>
    </w:p>
    <w:p w:rsidR="00687B7F" w:rsidRPr="00687B7F" w:rsidRDefault="00687B7F" w:rsidP="00687B7F">
      <w:pPr>
        <w:numPr>
          <w:ilvl w:val="0"/>
          <w:numId w:val="4"/>
        </w:numPr>
        <w:spacing w:before="90" w:line="204" w:lineRule="exact"/>
        <w:jc w:val="both"/>
        <w:rPr>
          <w:rFonts w:ascii="Calibri" w:eastAsia="Calibri" w:hAnsi="Calibri" w:cs="Calibri"/>
          <w:sz w:val="18"/>
        </w:rPr>
      </w:pPr>
      <w:proofErr w:type="spellStart"/>
      <w:r w:rsidRPr="00687B7F">
        <w:rPr>
          <w:rFonts w:ascii="Calibri" w:eastAsia="Calibri" w:hAnsi="Calibri" w:cs="Calibri"/>
          <w:sz w:val="18"/>
        </w:rPr>
        <w:t>Nayak</w:t>
      </w:r>
      <w:proofErr w:type="spellEnd"/>
      <w:r w:rsidRPr="00687B7F">
        <w:rPr>
          <w:rFonts w:ascii="Calibri" w:eastAsia="Calibri" w:hAnsi="Calibri" w:cs="Calibri"/>
          <w:sz w:val="18"/>
        </w:rPr>
        <w:t xml:space="preserve"> S, Tiwari GN (2009) Theoretical performance assessment of an integrated photovoltaic and earth air heat exchanger greenhouse using energy and </w:t>
      </w:r>
      <w:proofErr w:type="spellStart"/>
      <w:r w:rsidRPr="00687B7F">
        <w:rPr>
          <w:rFonts w:ascii="Calibri" w:eastAsia="Calibri" w:hAnsi="Calibri" w:cs="Calibri"/>
          <w:sz w:val="18"/>
        </w:rPr>
        <w:t>exergy</w:t>
      </w:r>
      <w:proofErr w:type="spellEnd"/>
      <w:r w:rsidRPr="00687B7F">
        <w:rPr>
          <w:rFonts w:ascii="Calibri" w:eastAsia="Calibri" w:hAnsi="Calibri" w:cs="Calibri"/>
          <w:sz w:val="18"/>
        </w:rPr>
        <w:t xml:space="preserve"> analysis methods. Energy and buildings. 4, 888-96.</w:t>
      </w:r>
    </w:p>
    <w:p w:rsidR="00687B7F" w:rsidRPr="00687B7F" w:rsidRDefault="00687B7F" w:rsidP="00687B7F">
      <w:pPr>
        <w:numPr>
          <w:ilvl w:val="0"/>
          <w:numId w:val="4"/>
        </w:numPr>
        <w:spacing w:before="90" w:line="204" w:lineRule="exact"/>
        <w:jc w:val="both"/>
        <w:rPr>
          <w:rFonts w:ascii="Calibri" w:eastAsia="Calibri" w:hAnsi="Calibri" w:cs="Calibri"/>
          <w:sz w:val="18"/>
        </w:rPr>
      </w:pPr>
      <w:proofErr w:type="spellStart"/>
      <w:r w:rsidRPr="00687B7F">
        <w:rPr>
          <w:rFonts w:ascii="Calibri" w:eastAsia="Calibri" w:hAnsi="Calibri" w:cs="Calibri"/>
          <w:sz w:val="18"/>
        </w:rPr>
        <w:t>Öztürk</w:t>
      </w:r>
      <w:proofErr w:type="spellEnd"/>
      <w:r w:rsidRPr="00687B7F">
        <w:rPr>
          <w:rFonts w:ascii="Calibri" w:eastAsia="Calibri" w:hAnsi="Calibri" w:cs="Calibri"/>
          <w:sz w:val="18"/>
        </w:rPr>
        <w:t xml:space="preserve"> HH (2005) Experimental evaluation of energy and </w:t>
      </w:r>
      <w:proofErr w:type="spellStart"/>
      <w:r w:rsidRPr="00687B7F">
        <w:rPr>
          <w:rFonts w:ascii="Calibri" w:eastAsia="Calibri" w:hAnsi="Calibri" w:cs="Calibri"/>
          <w:sz w:val="18"/>
        </w:rPr>
        <w:t>exergy</w:t>
      </w:r>
      <w:proofErr w:type="spellEnd"/>
      <w:r w:rsidRPr="00687B7F">
        <w:rPr>
          <w:rFonts w:ascii="Calibri" w:eastAsia="Calibri" w:hAnsi="Calibri" w:cs="Calibri"/>
          <w:sz w:val="18"/>
        </w:rPr>
        <w:t xml:space="preserve"> efficiency of a seasonal latent heat storage system for greenhouse heating. Energy conversion and management. 46:1523-42.</w:t>
      </w:r>
    </w:p>
    <w:p w:rsidR="00687B7F" w:rsidRPr="00687B7F" w:rsidRDefault="00687B7F" w:rsidP="00687B7F">
      <w:pPr>
        <w:numPr>
          <w:ilvl w:val="0"/>
          <w:numId w:val="4"/>
        </w:numPr>
        <w:spacing w:before="90" w:line="204" w:lineRule="exact"/>
        <w:jc w:val="both"/>
        <w:rPr>
          <w:rFonts w:ascii="Calibri" w:eastAsia="Calibri" w:hAnsi="Calibri" w:cs="Calibri"/>
          <w:sz w:val="18"/>
        </w:rPr>
      </w:pPr>
      <w:r w:rsidRPr="00687B7F">
        <w:rPr>
          <w:rFonts w:ascii="Calibri" w:eastAsia="Calibri" w:hAnsi="Calibri" w:cs="Calibri"/>
          <w:sz w:val="18"/>
        </w:rPr>
        <w:t xml:space="preserve">Sánchez-Rodríguez E, Leyva R, </w:t>
      </w:r>
      <w:proofErr w:type="spellStart"/>
      <w:r w:rsidRPr="00687B7F">
        <w:rPr>
          <w:rFonts w:ascii="Calibri" w:eastAsia="Calibri" w:hAnsi="Calibri" w:cs="Calibri"/>
          <w:sz w:val="18"/>
        </w:rPr>
        <w:t>Constan</w:t>
      </w:r>
      <w:proofErr w:type="spellEnd"/>
      <w:r w:rsidRPr="00687B7F">
        <w:rPr>
          <w:rFonts w:ascii="Calibri" w:eastAsia="Calibri" w:hAnsi="Calibri" w:cs="Calibri"/>
          <w:sz w:val="18"/>
        </w:rPr>
        <w:t>-Aguilar C, Romero L, Ruiz JM (2012) Grafting under water stress in tomato cherry: improving the fruit yield and quality. Annals of applied biology. 161:302–312.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4EC0D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687B7F">
      <w:pPr>
        <w:spacing w:before="92"/>
        <w:ind w:right="4234"/>
        <w:rPr>
          <w:rFonts w:ascii="Arial"/>
        </w:rPr>
      </w:pPr>
      <w:r>
        <w:rPr>
          <w:noProof/>
        </w:rPr>
        <w:t xml:space="preserve">            </w:t>
      </w:r>
      <w:r w:rsidR="00687B7F">
        <w:rPr>
          <w:noProof/>
          <w:lang w:val="fr-FR" w:eastAsia="fr-FR"/>
        </w:rPr>
        <w:drawing>
          <wp:inline distT="0" distB="0" distL="0" distR="0" wp14:anchorId="104964A9" wp14:editId="6AA7583F">
            <wp:extent cx="585436" cy="617935"/>
            <wp:effectExtent l="0" t="0" r="571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6803" cy="672153"/>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687B7F" w:rsidRPr="00687B7F" w:rsidRDefault="00687B7F" w:rsidP="00687B7F">
      <w:pPr>
        <w:spacing w:before="41" w:line="154" w:lineRule="exact"/>
        <w:ind w:left="213" w:right="231"/>
        <w:jc w:val="both"/>
        <w:rPr>
          <w:rFonts w:ascii="Arial"/>
          <w:sz w:val="14"/>
        </w:rPr>
      </w:pPr>
      <w:proofErr w:type="spellStart"/>
      <w:r w:rsidRPr="00687B7F">
        <w:rPr>
          <w:rFonts w:ascii="Arial"/>
          <w:sz w:val="14"/>
        </w:rPr>
        <w:t>Douja</w:t>
      </w:r>
      <w:proofErr w:type="spellEnd"/>
      <w:r w:rsidRPr="00687B7F">
        <w:rPr>
          <w:rFonts w:ascii="Arial"/>
          <w:sz w:val="14"/>
        </w:rPr>
        <w:t xml:space="preserve"> </w:t>
      </w:r>
      <w:proofErr w:type="spellStart"/>
      <w:r w:rsidRPr="00687B7F">
        <w:rPr>
          <w:rFonts w:ascii="Arial"/>
          <w:sz w:val="14"/>
        </w:rPr>
        <w:t>Sellami</w:t>
      </w:r>
      <w:proofErr w:type="spellEnd"/>
      <w:r w:rsidRPr="00687B7F">
        <w:rPr>
          <w:rFonts w:ascii="Arial"/>
          <w:sz w:val="14"/>
        </w:rPr>
        <w:t>, PH. D, has his competence in the study of greenhouse crops and his passion for the improvement of these crops. Its open improvement model is based on new ways of using renewable energy. She built this model after years of experience in research, both in biology laboratories and in thermal process laboratories.</w:t>
      </w:r>
    </w:p>
    <w:p w:rsidR="00AE3E37" w:rsidRDefault="00A9710C" w:rsidP="00687B7F">
      <w:pPr>
        <w:spacing w:before="62"/>
        <w:ind w:left="4217" w:right="4235"/>
        <w:jc w:val="center"/>
        <w:rPr>
          <w:rFonts w:ascii="Arial"/>
          <w:sz w:val="14"/>
        </w:rPr>
      </w:pPr>
      <w:r>
        <w:rPr>
          <w:rFonts w:ascii="Arial"/>
          <w:sz w:val="14"/>
        </w:rPr>
        <w:t xml:space="preserve">Email: </w:t>
      </w:r>
      <w:hyperlink r:id="rId12" w:history="1">
        <w:r w:rsidR="00687B7F" w:rsidRPr="00CC0A25">
          <w:rPr>
            <w:rStyle w:val="Lienhypertexte"/>
            <w:rFonts w:ascii="Arial"/>
            <w:sz w:val="14"/>
          </w:rPr>
          <w:t>sellami.douja@gmail.com</w:t>
        </w:r>
      </w:hyperlink>
    </w:p>
    <w:p w:rsidR="00AE3E37" w:rsidRPr="00A94239" w:rsidRDefault="00292ED9" w:rsidP="00A9423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ABEF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87B7F" w:rsidRDefault="00A9710C" w:rsidP="00687B7F">
      <w:pPr>
        <w:spacing w:before="39"/>
        <w:ind w:left="100"/>
        <w:rPr>
          <w:rFonts w:ascii="Minion Pro"/>
          <w:b/>
          <w:sz w:val="20"/>
        </w:rPr>
        <w:sectPr w:rsidR="00AE3E37" w:rsidRPr="00687B7F">
          <w:type w:val="continuous"/>
          <w:pgSz w:w="11910" w:h="16840"/>
          <w:pgMar w:top="1740" w:right="600" w:bottom="840" w:left="620" w:header="720" w:footer="720" w:gutter="0"/>
          <w:cols w:space="720"/>
        </w:sectPr>
      </w:pPr>
      <w:r w:rsidRPr="00B21A57">
        <w:rPr>
          <w:rFonts w:ascii="Minion Pro"/>
          <w:b/>
          <w:sz w:val="20"/>
        </w:rPr>
        <w:t>Notes/Comment</w:t>
      </w:r>
      <w:r w:rsidR="00687B7F">
        <w:rPr>
          <w:rFonts w:ascii="Minion Pro"/>
          <w:b/>
          <w:sz w:val="20"/>
        </w:rPr>
        <w:t>s:</w:t>
      </w: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828" w:rsidRDefault="008E4828">
      <w:r>
        <w:separator/>
      </w:r>
    </w:p>
  </w:endnote>
  <w:endnote w:type="continuationSeparator" w:id="0">
    <w:p w:rsidR="008E4828" w:rsidRDefault="008E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828" w:rsidRDefault="008E4828">
      <w:r>
        <w:separator/>
      </w:r>
    </w:p>
  </w:footnote>
  <w:footnote w:type="continuationSeparator" w:id="0">
    <w:p w:rsidR="008E4828" w:rsidRDefault="008E48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5755638"/>
    <w:multiLevelType w:val="hybridMultilevel"/>
    <w:tmpl w:val="BBA89CE8"/>
    <w:lvl w:ilvl="0" w:tplc="E79AB4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87B7F"/>
    <w:rsid w:val="007C5D0A"/>
    <w:rsid w:val="00873DF0"/>
    <w:rsid w:val="008756E6"/>
    <w:rsid w:val="008A08B6"/>
    <w:rsid w:val="008E1DE4"/>
    <w:rsid w:val="008E4828"/>
    <w:rsid w:val="009B2D44"/>
    <w:rsid w:val="00A07E82"/>
    <w:rsid w:val="00A94239"/>
    <w:rsid w:val="00A9710C"/>
    <w:rsid w:val="00AE3E37"/>
    <w:rsid w:val="00B21A57"/>
    <w:rsid w:val="00C33602"/>
    <w:rsid w:val="00CD6F55"/>
    <w:rsid w:val="00D230D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0AA98E-F707-480A-9C79-1E8F497A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twunmatched">
    <w:name w:val="twunmatched"/>
    <w:basedOn w:val="Normal"/>
    <w:rsid w:val="00D230D7"/>
    <w:pPr>
      <w:widowControl/>
      <w:spacing w:before="100" w:beforeAutospacing="1" w:after="100" w:afterAutospacing="1"/>
    </w:pPr>
    <w:rPr>
      <w:rFonts w:ascii="Times New Roman" w:eastAsia="Times New Roman" w:hAnsi="Times New Roman" w:cs="Times New Roman"/>
      <w:sz w:val="24"/>
      <w:szCs w:val="24"/>
      <w:lang w:val="fr-FR" w:eastAsia="fr-FR"/>
    </w:rPr>
  </w:style>
  <w:style w:type="table" w:styleId="Grilledutableau">
    <w:name w:val="Table Grid"/>
    <w:basedOn w:val="TableauNormal"/>
    <w:uiPriority w:val="59"/>
    <w:rsid w:val="00687B7F"/>
    <w:pPr>
      <w:widowControl/>
      <w:spacing w:beforeAutospacing="1" w:afterAutospacing="1"/>
      <w:jc w:val="both"/>
    </w:pPr>
    <w:rPr>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ellami.douj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537</Words>
  <Characters>2958</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2022-01-07T17:55:00Z</dcterms:created>
  <dcterms:modified xsi:type="dcterms:W3CDTF">2022-01-07T19:53:00Z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