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5C1125" w14:textId="0AFF2F1C" w:rsidR="00B7245D" w:rsidRPr="00B7245D" w:rsidRDefault="00B7245D" w:rsidP="00B7245D">
      <w:pPr>
        <w:pStyle w:val="Heading1"/>
        <w:rPr>
          <w:color w:val="4F81BD" w:themeColor="accent1"/>
        </w:rPr>
      </w:pPr>
      <w:r w:rsidRPr="00B7245D">
        <w:rPr>
          <w:color w:val="4F81BD" w:themeColor="accent1"/>
        </w:rPr>
        <w:t>Improvement of crop production of the greenhouse: validation of energetic research in agriculture field</w:t>
      </w:r>
    </w:p>
    <w:p w14:paraId="0C2B178F" w14:textId="110EEBA0" w:rsidR="00725846" w:rsidRDefault="005973B9" w:rsidP="005973B9">
      <w:pPr>
        <w:pStyle w:val="BodyText"/>
        <w:spacing w:before="73" w:line="198" w:lineRule="exact"/>
        <w:ind w:left="100" w:right="5987"/>
        <w:rPr>
          <w:rFonts w:ascii="Arial"/>
        </w:rPr>
      </w:pPr>
      <w:r>
        <w:rPr>
          <w:rFonts w:ascii="Arial"/>
        </w:rPr>
        <w:t>D</w:t>
      </w:r>
      <w:r w:rsidR="00725846">
        <w:rPr>
          <w:rFonts w:ascii="Arial"/>
        </w:rPr>
        <w:t>ouja</w:t>
      </w:r>
      <w:r>
        <w:rPr>
          <w:rFonts w:ascii="Arial"/>
        </w:rPr>
        <w:t xml:space="preserve"> </w:t>
      </w:r>
      <w:r w:rsidR="00725846">
        <w:rPr>
          <w:rFonts w:ascii="Arial"/>
        </w:rPr>
        <w:t>Sellami</w:t>
      </w:r>
      <w:r>
        <w:rPr>
          <w:rFonts w:ascii="Arial"/>
        </w:rPr>
        <w:t xml:space="preserve">, PhD, </w:t>
      </w:r>
      <w:bookmarkStart w:id="0" w:name="_Hlk46395290"/>
      <w:r w:rsidR="00725846">
        <w:rPr>
          <w:rFonts w:ascii="Arial"/>
        </w:rPr>
        <w:t>Technoparck</w:t>
      </w:r>
      <w:r>
        <w:rPr>
          <w:rFonts w:ascii="Arial"/>
        </w:rPr>
        <w:t xml:space="preserve">, </w:t>
      </w:r>
      <w:r w:rsidR="00725846">
        <w:rPr>
          <w:rFonts w:ascii="Arial"/>
        </w:rPr>
        <w:t>TUNISIA</w:t>
      </w:r>
    </w:p>
    <w:bookmarkEnd w:id="0"/>
    <w:p w14:paraId="742ED434" w14:textId="7FAF55F6" w:rsidR="00725846" w:rsidRDefault="00725846" w:rsidP="00725846">
      <w:pPr>
        <w:pStyle w:val="BodyText"/>
        <w:spacing w:before="73" w:line="198" w:lineRule="exact"/>
        <w:ind w:left="100" w:right="5987"/>
        <w:rPr>
          <w:rFonts w:ascii="Arial"/>
        </w:rPr>
      </w:pPr>
      <w:r>
        <w:rPr>
          <w:rFonts w:ascii="Arial"/>
        </w:rPr>
        <w:t>Hassen Boughanmi, PhD, Technoparck, TUNISIA</w:t>
      </w:r>
    </w:p>
    <w:p w14:paraId="041A1DC1" w14:textId="139EB7A4" w:rsidR="00725846" w:rsidRDefault="00725846" w:rsidP="00725846">
      <w:pPr>
        <w:pStyle w:val="BodyText"/>
        <w:spacing w:before="73" w:line="198" w:lineRule="exact"/>
        <w:ind w:left="100" w:right="5987"/>
        <w:rPr>
          <w:rFonts w:ascii="Arial"/>
        </w:rPr>
      </w:pPr>
      <w:r>
        <w:rPr>
          <w:rFonts w:ascii="Arial"/>
        </w:rPr>
        <w:t xml:space="preserve">Asma Ben Salem-Fnayou, </w:t>
      </w:r>
      <w:r w:rsidR="00CA3489">
        <w:rPr>
          <w:rFonts w:ascii="Arial"/>
        </w:rPr>
        <w:t>Assos prof Dr</w:t>
      </w:r>
      <w:r>
        <w:rPr>
          <w:rFonts w:ascii="Arial"/>
        </w:rPr>
        <w:t>, Technoparck, TUNISIA</w:t>
      </w:r>
    </w:p>
    <w:p w14:paraId="3B472387" w14:textId="438FD370" w:rsidR="00AE3E37" w:rsidRDefault="00AE3E37" w:rsidP="00725846">
      <w:pPr>
        <w:pStyle w:val="BodyText"/>
        <w:spacing w:before="73" w:line="198" w:lineRule="exact"/>
        <w:ind w:right="5987"/>
        <w:rPr>
          <w:rFonts w:ascii="Arial"/>
          <w:sz w:val="21"/>
        </w:rPr>
      </w:pPr>
    </w:p>
    <w:p w14:paraId="332AB3C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83ED86C" w14:textId="61D3D447" w:rsidR="00AE3E37" w:rsidRDefault="00A9710C">
      <w:pPr>
        <w:pStyle w:val="Heading3"/>
        <w:spacing w:before="147"/>
        <w:jc w:val="both"/>
        <w:rPr>
          <w:color w:val="BF5A14"/>
        </w:rPr>
      </w:pPr>
      <w:r>
        <w:rPr>
          <w:color w:val="BF5A14"/>
        </w:rPr>
        <w:t>Abstract</w:t>
      </w:r>
      <w:r w:rsidR="00404E5B">
        <w:rPr>
          <w:color w:val="BF5A14"/>
        </w:rPr>
        <w:t xml:space="preserve"> </w:t>
      </w:r>
    </w:p>
    <w:p w14:paraId="543069A5" w14:textId="5C4C8CEB" w:rsidR="00725846" w:rsidRPr="00725846" w:rsidRDefault="00725846" w:rsidP="00725846">
      <w:pPr>
        <w:jc w:val="both"/>
        <w:rPr>
          <w:sz w:val="18"/>
          <w:szCs w:val="18"/>
        </w:rPr>
      </w:pPr>
      <w:r w:rsidRPr="00725846">
        <w:rPr>
          <w:sz w:val="18"/>
          <w:szCs w:val="18"/>
        </w:rPr>
        <w:t xml:space="preserve">Yield has been often reported to be unstable, depending on the growing conditions. Therefore, a tomato (Solanum lycopersicum L.) crop was grown in three greenhouses during </w:t>
      </w:r>
      <w:r w:rsidR="00CA3489">
        <w:rPr>
          <w:sz w:val="18"/>
          <w:szCs w:val="18"/>
        </w:rPr>
        <w:t>winter</w:t>
      </w:r>
      <w:r w:rsidRPr="00725846">
        <w:rPr>
          <w:sz w:val="18"/>
          <w:szCs w:val="18"/>
        </w:rPr>
        <w:t xml:space="preserve"> in Tunisia. Sidewalls and northern roof of two greenhouses were covered with sandwich panels (Insulated greenhouses (IG)) from which one is equipped with a heating system with latent storage (IGHLS). The other greenhouse was transparent (TG). These greenhouses were mechanically ventilated when air temperature exceeded 28°C. The overall mean air temperature was significantly increased by 1.42 and 4.34 °C (day) and 2 and 3.2 °C (night) in IGHLS as compared to IG and TG, respectively. Temperature maxima in IGHLS averaged about 2 and 4.35°C higher than in IG and TG, respectively. The relative humidity was similar at day but higher at night in TG than in IG and IGHLS with 1% and 2%, respectively. The relative water content was significantly lower in TG (76.86) than in IG</w:t>
      </w:r>
      <w:r w:rsidRPr="0064435C">
        <w:rPr>
          <w:rFonts w:asciiTheme="majorBidi" w:hAnsiTheme="majorBidi" w:cstheme="majorBidi"/>
          <w:sz w:val="24"/>
          <w:szCs w:val="24"/>
        </w:rPr>
        <w:t xml:space="preserve"> (</w:t>
      </w:r>
      <w:r w:rsidRPr="00725846">
        <w:rPr>
          <w:sz w:val="18"/>
          <w:szCs w:val="18"/>
        </w:rPr>
        <w:t>94.02) and IGHLS (117.92). The relative growth rate was increased by optimal conditions, whereas the electrolyte leakage and lipid peroxidation of leaves was suppressed in the IGHLS. Total fruit yield was higher in IGHLS (4,98 kg plant-1) than in IG (3,2 kg plant-1) and TG (2.3kg plant-1). The quantity of undersized (mostly parthenocarpic) and blossom-end rot (BER)-affected fruits was reduced in IGHLS. However, the proportion of marketable yield was significantly higher in IGHLS (4.86 kg plant-1) than in IG (3.05 kg plant-1) and TG (2.22), owing largely to an</w:t>
      </w:r>
      <w:r w:rsidRPr="0064435C">
        <w:rPr>
          <w:rFonts w:asciiTheme="majorBidi" w:hAnsiTheme="majorBidi" w:cstheme="majorBidi"/>
          <w:sz w:val="24"/>
          <w:szCs w:val="24"/>
        </w:rPr>
        <w:t xml:space="preserve"> </w:t>
      </w:r>
      <w:r w:rsidRPr="00725846">
        <w:rPr>
          <w:sz w:val="18"/>
          <w:szCs w:val="18"/>
        </w:rPr>
        <w:t xml:space="preserve">increased incidence of undersized fruits in TG and IG. Higher undersized fruit incidence coincided with lower fresh weight and Ca concentration in the fruits in TG and IG. It is concluded that in greenhouse with technical modification allowing an increase of night temperature and dehumidification will improve protected tomato production. </w:t>
      </w:r>
    </w:p>
    <w:p w14:paraId="4294E5B9" w14:textId="77777777" w:rsidR="00AE3E37" w:rsidRDefault="00A9710C" w:rsidP="00725846">
      <w:pPr>
        <w:pStyle w:val="Heading3"/>
        <w:spacing w:before="74"/>
        <w:ind w:left="0"/>
      </w:pPr>
      <w:r>
        <w:rPr>
          <w:b w:val="0"/>
        </w:rPr>
        <w:br w:type="column"/>
      </w:r>
      <w:r>
        <w:rPr>
          <w:color w:val="BF5A14"/>
        </w:rPr>
        <w:t>Image</w:t>
      </w:r>
    </w:p>
    <w:p w14:paraId="24D75246" w14:textId="77777777" w:rsidR="00725846" w:rsidRDefault="00725846">
      <w:pPr>
        <w:pStyle w:val="BodyText"/>
        <w:spacing w:before="2"/>
        <w:rPr>
          <w:rFonts w:ascii="Arial"/>
          <w:b/>
          <w:sz w:val="16"/>
        </w:rPr>
      </w:pPr>
    </w:p>
    <w:tbl>
      <w:tblPr>
        <w:tblStyle w:val="TableGrid"/>
        <w:tblW w:w="53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6"/>
        <w:gridCol w:w="2632"/>
      </w:tblGrid>
      <w:tr w:rsidR="00725846" w:rsidRPr="0064435C" w14:paraId="2708A683" w14:textId="77777777" w:rsidTr="00725846">
        <w:tc>
          <w:tcPr>
            <w:tcW w:w="2706" w:type="dxa"/>
          </w:tcPr>
          <w:p w14:paraId="737C205E" w14:textId="77777777" w:rsidR="00725846" w:rsidRPr="0064435C" w:rsidRDefault="00725846" w:rsidP="000A0D44">
            <w:pPr>
              <w:spacing w:line="480" w:lineRule="auto"/>
              <w:rPr>
                <w:rFonts w:asciiTheme="majorBidi" w:hAnsiTheme="majorBidi" w:cstheme="majorBidi"/>
                <w:sz w:val="20"/>
                <w:szCs w:val="20"/>
                <w:lang w:val="en-US"/>
              </w:rPr>
            </w:pPr>
            <w:r w:rsidRPr="0064435C">
              <w:rPr>
                <w:rFonts w:asciiTheme="majorBidi" w:hAnsiTheme="majorBidi" w:cstheme="majorBidi"/>
                <w:noProof/>
                <w:sz w:val="20"/>
                <w:szCs w:val="20"/>
                <w:lang w:eastAsia="fr-FR"/>
              </w:rPr>
              <w:drawing>
                <wp:inline distT="0" distB="0" distL="0" distR="0" wp14:anchorId="11E8C756" wp14:editId="4D0A56A4">
                  <wp:extent cx="1367651" cy="1276350"/>
                  <wp:effectExtent l="0" t="0" r="4445" b="0"/>
                  <wp:docPr id="4" name="Image 1" descr="C:\Users\CRTEn84\Desktop\Nouveau dossier HR2602\JACS 14092016\Nouveau dossier\Nouveau dossier\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RTEn84\Desktop\Nouveau dossier HR2602\JACS 14092016\Nouveau dossier\Nouveau dossier\Fig.2.jpg"/>
                          <pic:cNvPicPr>
                            <a:picLocks noChangeAspect="1" noChangeArrowheads="1"/>
                          </pic:cNvPicPr>
                        </pic:nvPicPr>
                        <pic:blipFill>
                          <a:blip r:embed="rId9"/>
                          <a:srcRect/>
                          <a:stretch>
                            <a:fillRect/>
                          </a:stretch>
                        </pic:blipFill>
                        <pic:spPr bwMode="auto">
                          <a:xfrm>
                            <a:off x="0" y="0"/>
                            <a:ext cx="1381707" cy="1289468"/>
                          </a:xfrm>
                          <a:prstGeom prst="rect">
                            <a:avLst/>
                          </a:prstGeom>
                          <a:noFill/>
                          <a:ln w="9525">
                            <a:noFill/>
                            <a:miter lim="800000"/>
                            <a:headEnd/>
                            <a:tailEnd/>
                          </a:ln>
                        </pic:spPr>
                      </pic:pic>
                    </a:graphicData>
                  </a:graphic>
                </wp:inline>
              </w:drawing>
            </w:r>
          </w:p>
        </w:tc>
        <w:tc>
          <w:tcPr>
            <w:tcW w:w="2632" w:type="dxa"/>
          </w:tcPr>
          <w:p w14:paraId="7BF2A749" w14:textId="77777777" w:rsidR="00725846" w:rsidRPr="0064435C" w:rsidRDefault="00725846" w:rsidP="000A0D44">
            <w:pPr>
              <w:spacing w:line="480" w:lineRule="auto"/>
              <w:rPr>
                <w:rFonts w:asciiTheme="majorBidi" w:hAnsiTheme="majorBidi" w:cstheme="majorBidi"/>
                <w:sz w:val="20"/>
                <w:szCs w:val="20"/>
                <w:lang w:val="en-US"/>
              </w:rPr>
            </w:pPr>
            <w:r w:rsidRPr="0064435C">
              <w:rPr>
                <w:rFonts w:asciiTheme="majorBidi" w:hAnsiTheme="majorBidi" w:cstheme="majorBidi"/>
                <w:noProof/>
                <w:sz w:val="20"/>
                <w:szCs w:val="20"/>
                <w:lang w:eastAsia="fr-FR"/>
              </w:rPr>
              <w:drawing>
                <wp:inline distT="0" distB="0" distL="0" distR="0" wp14:anchorId="21AF554E" wp14:editId="3DD00A0B">
                  <wp:extent cx="1312944" cy="1393454"/>
                  <wp:effectExtent l="0" t="0" r="1905" b="0"/>
                  <wp:docPr id="2" name="Image 2" descr="C:\Users\CRTEn84\Desktop\Nouveau dossier HR2602\JACS 14092016\Nouveau dossier\Nouveau dossier\Fig.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RTEn84\Desktop\Nouveau dossier HR2602\JACS 14092016\Nouveau dossier\Nouveau dossier\Fig.3.b.jpg"/>
                          <pic:cNvPicPr>
                            <a:picLocks noChangeAspect="1" noChangeArrowheads="1"/>
                          </pic:cNvPicPr>
                        </pic:nvPicPr>
                        <pic:blipFill>
                          <a:blip r:embed="rId10"/>
                          <a:srcRect/>
                          <a:stretch>
                            <a:fillRect/>
                          </a:stretch>
                        </pic:blipFill>
                        <pic:spPr bwMode="auto">
                          <a:xfrm>
                            <a:off x="0" y="0"/>
                            <a:ext cx="1326578" cy="1407924"/>
                          </a:xfrm>
                          <a:prstGeom prst="rect">
                            <a:avLst/>
                          </a:prstGeom>
                          <a:noFill/>
                          <a:ln w="9525">
                            <a:noFill/>
                            <a:miter lim="800000"/>
                            <a:headEnd/>
                            <a:tailEnd/>
                          </a:ln>
                        </pic:spPr>
                      </pic:pic>
                    </a:graphicData>
                  </a:graphic>
                </wp:inline>
              </w:drawing>
            </w:r>
          </w:p>
        </w:tc>
      </w:tr>
    </w:tbl>
    <w:p w14:paraId="653DCB89" w14:textId="63EC1BBC" w:rsidR="00AE3E37" w:rsidRPr="00392952" w:rsidRDefault="00725846" w:rsidP="00392952">
      <w:pPr>
        <w:spacing w:line="480" w:lineRule="auto"/>
        <w:jc w:val="both"/>
        <w:rPr>
          <w:rFonts w:asciiTheme="majorBidi" w:hAnsiTheme="majorBidi" w:cstheme="majorBidi"/>
          <w:sz w:val="20"/>
          <w:szCs w:val="20"/>
        </w:rPr>
      </w:pPr>
      <w:r w:rsidRPr="00725846">
        <w:rPr>
          <w:rFonts w:asciiTheme="majorBidi" w:hAnsiTheme="majorBidi" w:cstheme="majorBidi"/>
          <w:b/>
          <w:bCs/>
          <w:sz w:val="20"/>
          <w:szCs w:val="20"/>
        </w:rPr>
        <w:t>Figure 1:</w:t>
      </w:r>
      <w:r w:rsidRPr="00725846">
        <w:rPr>
          <w:rFonts w:asciiTheme="majorBidi" w:hAnsiTheme="majorBidi" w:cstheme="majorBidi"/>
          <w:sz w:val="20"/>
          <w:szCs w:val="20"/>
        </w:rPr>
        <w:t xml:space="preserve"> (a) External view of the insulated greenhouse equipped with the solar air heater, (b) schematic section of the SAHLSC </w:t>
      </w:r>
    </w:p>
    <w:p w14:paraId="0EB6451A" w14:textId="36BB0AE0" w:rsidR="005973B9" w:rsidRDefault="005973B9" w:rsidP="005973B9">
      <w:pPr>
        <w:spacing w:line="204" w:lineRule="exact"/>
        <w:rPr>
          <w:rFonts w:ascii="Arial"/>
          <w:b/>
          <w:color w:val="BF5A14"/>
          <w:sz w:val="20"/>
        </w:rPr>
      </w:pPr>
      <w:r>
        <w:rPr>
          <w:rFonts w:ascii="Arial"/>
          <w:b/>
          <w:color w:val="BF5A14"/>
          <w:sz w:val="20"/>
        </w:rPr>
        <w:br/>
        <w:t xml:space="preserve">Recent Publications </w:t>
      </w:r>
    </w:p>
    <w:p w14:paraId="5EE6AB5D" w14:textId="5C815E4D" w:rsidR="00392952" w:rsidRDefault="00392952" w:rsidP="00392952">
      <w:pPr>
        <w:pStyle w:val="ListParagraph"/>
        <w:numPr>
          <w:ilvl w:val="0"/>
          <w:numId w:val="4"/>
        </w:numPr>
        <w:spacing w:line="204" w:lineRule="exact"/>
        <w:rPr>
          <w:sz w:val="18"/>
        </w:rPr>
      </w:pPr>
      <w:r w:rsidRPr="00392952">
        <w:rPr>
          <w:sz w:val="18"/>
        </w:rPr>
        <w:t xml:space="preserve">Candan N, Tarhan L (2012) Tolerance or sensitivity responses of </w:t>
      </w:r>
      <w:r w:rsidRPr="00392952">
        <w:rPr>
          <w:i/>
          <w:iCs/>
          <w:sz w:val="18"/>
        </w:rPr>
        <w:t>Mentha pulegium</w:t>
      </w:r>
      <w:r w:rsidRPr="00392952">
        <w:rPr>
          <w:sz w:val="18"/>
        </w:rPr>
        <w:t xml:space="preserve"> to osmotic and waterlogging stress in terms of antioxidant defense systems and membrane lipid peroxidation. </w:t>
      </w:r>
      <w:r w:rsidR="004B2CD7" w:rsidRPr="004B2CD7">
        <w:rPr>
          <w:sz w:val="18"/>
        </w:rPr>
        <w:t>Environmental</w:t>
      </w:r>
      <w:r w:rsidR="004B2CD7">
        <w:rPr>
          <w:sz w:val="18"/>
        </w:rPr>
        <w:t xml:space="preserve"> </w:t>
      </w:r>
      <w:r w:rsidR="004B2CD7" w:rsidRPr="004B2CD7">
        <w:rPr>
          <w:sz w:val="18"/>
        </w:rPr>
        <w:t>and Experimental Botany</w:t>
      </w:r>
      <w:r w:rsidR="004B2CD7">
        <w:rPr>
          <w:sz w:val="18"/>
        </w:rPr>
        <w:t>.</w:t>
      </w:r>
      <w:r w:rsidRPr="00392952">
        <w:rPr>
          <w:sz w:val="18"/>
        </w:rPr>
        <w:t xml:space="preserve"> 75</w:t>
      </w:r>
      <w:r>
        <w:rPr>
          <w:sz w:val="18"/>
        </w:rPr>
        <w:t>:</w:t>
      </w:r>
      <w:r w:rsidRPr="00392952">
        <w:rPr>
          <w:sz w:val="18"/>
        </w:rPr>
        <w:t>83–88.</w:t>
      </w:r>
    </w:p>
    <w:p w14:paraId="70F51792" w14:textId="45AFFB3B" w:rsidR="00392952" w:rsidRDefault="00392952" w:rsidP="00392952">
      <w:pPr>
        <w:pStyle w:val="ListParagraph"/>
        <w:numPr>
          <w:ilvl w:val="0"/>
          <w:numId w:val="4"/>
        </w:numPr>
        <w:spacing w:line="204" w:lineRule="exact"/>
        <w:rPr>
          <w:sz w:val="18"/>
        </w:rPr>
      </w:pPr>
      <w:r w:rsidRPr="00392952">
        <w:rPr>
          <w:sz w:val="18"/>
        </w:rPr>
        <w:t>Cha-um S, Ulziibat B</w:t>
      </w:r>
      <w:r>
        <w:rPr>
          <w:sz w:val="18"/>
        </w:rPr>
        <w:t>,</w:t>
      </w:r>
      <w:r w:rsidRPr="00392952">
        <w:rPr>
          <w:sz w:val="18"/>
        </w:rPr>
        <w:t xml:space="preserve"> Kirdmanee C </w:t>
      </w:r>
      <w:r>
        <w:rPr>
          <w:sz w:val="18"/>
        </w:rPr>
        <w:t>(</w:t>
      </w:r>
      <w:r w:rsidRPr="00392952">
        <w:rPr>
          <w:sz w:val="18"/>
        </w:rPr>
        <w:t>2010</w:t>
      </w:r>
      <w:r>
        <w:rPr>
          <w:sz w:val="18"/>
        </w:rPr>
        <w:t>)</w:t>
      </w:r>
      <w:r w:rsidRPr="00392952">
        <w:rPr>
          <w:sz w:val="18"/>
        </w:rPr>
        <w:t xml:space="preserve"> Effects of temperature and relative humidity during in vitro acclimatization: on physiological changes and growth characters of Phalaenopsis adapted to in vivo. </w:t>
      </w:r>
      <w:r w:rsidR="004B2CD7" w:rsidRPr="004B2CD7">
        <w:rPr>
          <w:sz w:val="18"/>
        </w:rPr>
        <w:t>Australian Journal of Crop Science</w:t>
      </w:r>
      <w:r w:rsidR="004B2CD7">
        <w:rPr>
          <w:sz w:val="18"/>
        </w:rPr>
        <w:t>.</w:t>
      </w:r>
      <w:r w:rsidRPr="00392952">
        <w:rPr>
          <w:sz w:val="18"/>
        </w:rPr>
        <w:t xml:space="preserve"> 4</w:t>
      </w:r>
      <w:r>
        <w:rPr>
          <w:sz w:val="18"/>
        </w:rPr>
        <w:t>:</w:t>
      </w:r>
      <w:r w:rsidRPr="00392952">
        <w:rPr>
          <w:sz w:val="18"/>
        </w:rPr>
        <w:t>750–756.</w:t>
      </w:r>
    </w:p>
    <w:p w14:paraId="2B294797" w14:textId="0685BBE3" w:rsidR="00392952" w:rsidRDefault="00392952" w:rsidP="00392952">
      <w:pPr>
        <w:pStyle w:val="ListParagraph"/>
        <w:numPr>
          <w:ilvl w:val="0"/>
          <w:numId w:val="4"/>
        </w:numPr>
        <w:spacing w:line="204" w:lineRule="exact"/>
        <w:rPr>
          <w:sz w:val="18"/>
        </w:rPr>
      </w:pPr>
      <w:r w:rsidRPr="00392952">
        <w:rPr>
          <w:sz w:val="18"/>
        </w:rPr>
        <w:t>Nayak S</w:t>
      </w:r>
      <w:r>
        <w:rPr>
          <w:sz w:val="18"/>
        </w:rPr>
        <w:t>,</w:t>
      </w:r>
      <w:r w:rsidRPr="00392952">
        <w:rPr>
          <w:sz w:val="18"/>
        </w:rPr>
        <w:t xml:space="preserve"> Tiwari GN </w:t>
      </w:r>
      <w:r>
        <w:rPr>
          <w:sz w:val="18"/>
        </w:rPr>
        <w:t>(</w:t>
      </w:r>
      <w:r w:rsidRPr="00392952">
        <w:rPr>
          <w:sz w:val="18"/>
        </w:rPr>
        <w:t>2009</w:t>
      </w:r>
      <w:r>
        <w:rPr>
          <w:sz w:val="18"/>
        </w:rPr>
        <w:t>)</w:t>
      </w:r>
      <w:r w:rsidRPr="00392952">
        <w:rPr>
          <w:sz w:val="18"/>
        </w:rPr>
        <w:t xml:space="preserve"> Theoretical performance assessment of an integrated photovoltaic and earth air heat exchanger greenhouse using energy and exergy analysis methods. Energy </w:t>
      </w:r>
      <w:r w:rsidR="004B2CD7">
        <w:rPr>
          <w:sz w:val="18"/>
        </w:rPr>
        <w:t>and b</w:t>
      </w:r>
      <w:r w:rsidRPr="00392952">
        <w:rPr>
          <w:sz w:val="18"/>
        </w:rPr>
        <w:t>uild</w:t>
      </w:r>
      <w:r w:rsidR="004B2CD7">
        <w:rPr>
          <w:sz w:val="18"/>
        </w:rPr>
        <w:t>ings</w:t>
      </w:r>
      <w:r w:rsidRPr="00392952">
        <w:rPr>
          <w:sz w:val="18"/>
        </w:rPr>
        <w:t>. 4, 888-96.</w:t>
      </w:r>
    </w:p>
    <w:p w14:paraId="69AC3668" w14:textId="172777A0" w:rsidR="00392952" w:rsidRDefault="00392952" w:rsidP="00392952">
      <w:pPr>
        <w:pStyle w:val="ListParagraph"/>
        <w:numPr>
          <w:ilvl w:val="0"/>
          <w:numId w:val="4"/>
        </w:numPr>
        <w:spacing w:line="204" w:lineRule="exact"/>
        <w:rPr>
          <w:sz w:val="18"/>
        </w:rPr>
      </w:pPr>
      <w:r w:rsidRPr="00392952">
        <w:rPr>
          <w:sz w:val="18"/>
        </w:rPr>
        <w:t xml:space="preserve">Öztürk HH </w:t>
      </w:r>
      <w:r>
        <w:rPr>
          <w:sz w:val="18"/>
        </w:rPr>
        <w:t>(</w:t>
      </w:r>
      <w:r w:rsidRPr="00392952">
        <w:rPr>
          <w:sz w:val="18"/>
        </w:rPr>
        <w:t>2005</w:t>
      </w:r>
      <w:r>
        <w:rPr>
          <w:sz w:val="18"/>
        </w:rPr>
        <w:t xml:space="preserve">) </w:t>
      </w:r>
      <w:r w:rsidRPr="00392952">
        <w:rPr>
          <w:sz w:val="18"/>
        </w:rPr>
        <w:t>Experimental evaluation of energy and exergy efficiency of a seasonal latent heat storage system for greenhouse heating. Energ</w:t>
      </w:r>
      <w:r w:rsidR="004B2CD7">
        <w:rPr>
          <w:sz w:val="18"/>
        </w:rPr>
        <w:t>y c</w:t>
      </w:r>
      <w:r w:rsidRPr="00392952">
        <w:rPr>
          <w:sz w:val="18"/>
        </w:rPr>
        <w:t>onvers</w:t>
      </w:r>
      <w:r w:rsidR="004B2CD7">
        <w:rPr>
          <w:sz w:val="18"/>
        </w:rPr>
        <w:t>ion</w:t>
      </w:r>
      <w:r w:rsidRPr="00392952">
        <w:rPr>
          <w:sz w:val="18"/>
        </w:rPr>
        <w:t xml:space="preserve"> </w:t>
      </w:r>
      <w:r w:rsidR="004B2CD7">
        <w:rPr>
          <w:sz w:val="18"/>
        </w:rPr>
        <w:t>and m</w:t>
      </w:r>
      <w:r w:rsidRPr="00392952">
        <w:rPr>
          <w:sz w:val="18"/>
        </w:rPr>
        <w:t>anag</w:t>
      </w:r>
      <w:r w:rsidR="004B2CD7">
        <w:rPr>
          <w:sz w:val="18"/>
        </w:rPr>
        <w:t>ement</w:t>
      </w:r>
      <w:r w:rsidRPr="00392952">
        <w:rPr>
          <w:sz w:val="18"/>
        </w:rPr>
        <w:t>. 46:1523-42.</w:t>
      </w:r>
    </w:p>
    <w:p w14:paraId="0AB74365" w14:textId="16041C36" w:rsidR="00AE3E37" w:rsidRPr="004B2CD7" w:rsidRDefault="00392952" w:rsidP="004B2CD7">
      <w:pPr>
        <w:pStyle w:val="ListParagraph"/>
        <w:numPr>
          <w:ilvl w:val="0"/>
          <w:numId w:val="4"/>
        </w:numPr>
        <w:spacing w:line="204" w:lineRule="exact"/>
        <w:rPr>
          <w:sz w:val="18"/>
        </w:rPr>
      </w:pPr>
      <w:r w:rsidRPr="00392952">
        <w:rPr>
          <w:sz w:val="18"/>
        </w:rPr>
        <w:t>Sánchez-Rodríguez E, Leyva</w:t>
      </w:r>
      <w:r>
        <w:rPr>
          <w:sz w:val="18"/>
        </w:rPr>
        <w:t xml:space="preserve"> </w:t>
      </w:r>
      <w:r w:rsidRPr="00392952">
        <w:rPr>
          <w:sz w:val="18"/>
        </w:rPr>
        <w:t>R, Constan-Aguilar C, Romero L, Ruiz JM</w:t>
      </w:r>
      <w:r>
        <w:rPr>
          <w:sz w:val="18"/>
        </w:rPr>
        <w:t xml:space="preserve"> (</w:t>
      </w:r>
      <w:r w:rsidRPr="00392952">
        <w:rPr>
          <w:sz w:val="18"/>
        </w:rPr>
        <w:t>2012</w:t>
      </w:r>
      <w:r>
        <w:rPr>
          <w:sz w:val="18"/>
        </w:rPr>
        <w:t>)</w:t>
      </w:r>
      <w:r w:rsidRPr="00392952">
        <w:rPr>
          <w:sz w:val="18"/>
        </w:rPr>
        <w:t xml:space="preserve"> Grafting under water stress in tomato cherry: improving the fruit yield and quality. Ann</w:t>
      </w:r>
      <w:r w:rsidR="004B2CD7">
        <w:rPr>
          <w:sz w:val="18"/>
        </w:rPr>
        <w:t>als of</w:t>
      </w:r>
      <w:r w:rsidRPr="00392952">
        <w:rPr>
          <w:sz w:val="18"/>
        </w:rPr>
        <w:t xml:space="preserve"> </w:t>
      </w:r>
      <w:r w:rsidR="004B2CD7">
        <w:rPr>
          <w:sz w:val="18"/>
        </w:rPr>
        <w:t>a</w:t>
      </w:r>
      <w:r w:rsidRPr="00392952">
        <w:rPr>
          <w:sz w:val="18"/>
        </w:rPr>
        <w:t>ppl</w:t>
      </w:r>
      <w:r w:rsidR="004B2CD7">
        <w:rPr>
          <w:sz w:val="18"/>
        </w:rPr>
        <w:t>ied b</w:t>
      </w:r>
      <w:r w:rsidRPr="00392952">
        <w:rPr>
          <w:sz w:val="18"/>
        </w:rPr>
        <w:t>iol</w:t>
      </w:r>
      <w:r w:rsidR="004B2CD7">
        <w:rPr>
          <w:sz w:val="18"/>
        </w:rPr>
        <w:t>ogy</w:t>
      </w:r>
      <w:r w:rsidRPr="00392952">
        <w:rPr>
          <w:sz w:val="18"/>
        </w:rPr>
        <w:t>. 161</w:t>
      </w:r>
      <w:r>
        <w:rPr>
          <w:sz w:val="18"/>
        </w:rPr>
        <w:t>:</w:t>
      </w:r>
      <w:r w:rsidRPr="00392952">
        <w:rPr>
          <w:sz w:val="18"/>
        </w:rPr>
        <w:t>302–312.</w:t>
      </w:r>
    </w:p>
    <w:p w14:paraId="33A12B1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8FE1FEA" w14:textId="77777777" w:rsidR="00AE3E37" w:rsidRDefault="00AE3E37">
      <w:pPr>
        <w:pStyle w:val="BodyText"/>
        <w:rPr>
          <w:rFonts w:ascii="Calibri"/>
          <w:sz w:val="20"/>
        </w:rPr>
      </w:pPr>
    </w:p>
    <w:p w14:paraId="581B2DB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7E2187E" wp14:editId="17D28F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BF456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150C9C3" w14:textId="33590AA4" w:rsidR="00957894" w:rsidRPr="00957894" w:rsidRDefault="008756E6" w:rsidP="00957894">
      <w:pPr>
        <w:spacing w:before="92"/>
        <w:ind w:right="4234"/>
        <w:rPr>
          <w:rFonts w:ascii="Arial"/>
          <w:color w:val="BF5A14"/>
        </w:rPr>
      </w:pPr>
      <w:r>
        <w:rPr>
          <w:noProof/>
        </w:rPr>
        <w:t xml:space="preserve">              </w:t>
      </w:r>
      <w:r w:rsidR="004B2CD7">
        <w:rPr>
          <w:noProof/>
        </w:rPr>
        <w:drawing>
          <wp:inline distT="0" distB="0" distL="0" distR="0" wp14:anchorId="1E980F26" wp14:editId="21730FB6">
            <wp:extent cx="585436" cy="617935"/>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6803" cy="672153"/>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295EED79" w14:textId="2001B7D1" w:rsidR="00AE3E37" w:rsidRDefault="00A9710C">
      <w:pPr>
        <w:spacing w:before="41" w:line="154" w:lineRule="exact"/>
        <w:ind w:left="213" w:right="231"/>
        <w:jc w:val="both"/>
        <w:rPr>
          <w:rFonts w:ascii="Arial"/>
          <w:sz w:val="14"/>
        </w:rPr>
      </w:pPr>
      <w:r>
        <w:rPr>
          <w:rFonts w:ascii="Arial"/>
          <w:sz w:val="14"/>
        </w:rPr>
        <w:t>D</w:t>
      </w:r>
      <w:r w:rsidR="00957894">
        <w:rPr>
          <w:rFonts w:ascii="Arial"/>
          <w:sz w:val="14"/>
        </w:rPr>
        <w:t>ouja</w:t>
      </w:r>
      <w:r>
        <w:rPr>
          <w:rFonts w:ascii="Arial"/>
          <w:sz w:val="14"/>
        </w:rPr>
        <w:t xml:space="preserve"> </w:t>
      </w:r>
      <w:r w:rsidR="00957894">
        <w:rPr>
          <w:rFonts w:ascii="Arial"/>
          <w:sz w:val="14"/>
        </w:rPr>
        <w:t>Sellami</w:t>
      </w:r>
      <w:r w:rsidR="00E87D06">
        <w:rPr>
          <w:rFonts w:ascii="Arial"/>
          <w:sz w:val="14"/>
        </w:rPr>
        <w:t>, PH. D,</w:t>
      </w:r>
      <w:r>
        <w:rPr>
          <w:rFonts w:ascii="Arial"/>
          <w:sz w:val="14"/>
        </w:rPr>
        <w:t xml:space="preserve"> </w:t>
      </w:r>
      <w:r w:rsidR="00957894" w:rsidRPr="00957894">
        <w:rPr>
          <w:rFonts w:ascii="Arial"/>
          <w:sz w:val="14"/>
        </w:rPr>
        <w:t>has his competence in the study of greenhouse crops and his passion for the improvement of these crops. Its open improvement model is based on new ways of using renewable energy. She built this model after years of experience in research, both in biology laboratories and in thermal process laboratories.</w:t>
      </w:r>
    </w:p>
    <w:p w14:paraId="0EB18D5D" w14:textId="179786B0" w:rsidR="00AE3E37" w:rsidRPr="00957894" w:rsidRDefault="00A9710C" w:rsidP="00957894">
      <w:pPr>
        <w:spacing w:before="62"/>
        <w:ind w:left="4217" w:right="4235"/>
        <w:jc w:val="center"/>
        <w:rPr>
          <w:rFonts w:ascii="Arial"/>
          <w:sz w:val="14"/>
        </w:rPr>
      </w:pPr>
      <w:r>
        <w:rPr>
          <w:rFonts w:ascii="Arial"/>
          <w:sz w:val="14"/>
        </w:rPr>
        <w:t xml:space="preserve">Email: </w:t>
      </w:r>
      <w:hyperlink r:id="rId12" w:history="1">
        <w:r w:rsidR="00957894" w:rsidRPr="00A407CA">
          <w:rPr>
            <w:rStyle w:val="Hyperlink"/>
            <w:rFonts w:ascii="Arial"/>
            <w:sz w:val="14"/>
          </w:rPr>
          <w:t>sellami.douja@gmail.com</w:t>
        </w:r>
      </w:hyperlink>
      <w:r w:rsidR="00292ED9">
        <w:rPr>
          <w:noProof/>
          <w:lang w:val="en-IN" w:eastAsia="en-IN"/>
        </w:rPr>
        <mc:AlternateContent>
          <mc:Choice Requires="wps">
            <w:drawing>
              <wp:anchor distT="0" distB="0" distL="0" distR="0" simplePos="0" relativeHeight="1072" behindDoc="0" locked="0" layoutInCell="1" allowOverlap="1" wp14:anchorId="28E7B119" wp14:editId="5B81D22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28A8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C88E64D" w14:textId="77777777" w:rsidR="00AE3E37" w:rsidRPr="00B21A57" w:rsidRDefault="00A9710C">
      <w:pPr>
        <w:spacing w:before="39"/>
        <w:ind w:left="100"/>
        <w:rPr>
          <w:rFonts w:ascii="Minion Pro"/>
          <w:b/>
          <w:sz w:val="20"/>
        </w:rPr>
      </w:pPr>
      <w:r w:rsidRPr="00B21A57">
        <w:rPr>
          <w:rFonts w:ascii="Minion Pro"/>
          <w:b/>
          <w:sz w:val="20"/>
        </w:rPr>
        <w:t>Notes/Comments:</w:t>
      </w:r>
    </w:p>
    <w:p w14:paraId="3AF7F6A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5BF61D4"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310EB7" w14:textId="77777777" w:rsidR="00785143" w:rsidRDefault="00785143">
      <w:r>
        <w:separator/>
      </w:r>
    </w:p>
  </w:endnote>
  <w:endnote w:type="continuationSeparator" w:id="0">
    <w:p w14:paraId="6CDB9D3E" w14:textId="77777777" w:rsidR="00785143" w:rsidRDefault="007851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1404D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B3CF182" wp14:editId="4C09E15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08C9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DFF6F8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3CF182"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7608C9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DFF6F8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215B924" wp14:editId="066C765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C56D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DC350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5B92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03C56D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DC350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A03CBE8" wp14:editId="4EB24BE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47D3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E64426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3CBE8"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41A47D3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E64426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783D72" w14:textId="77777777" w:rsidR="00785143" w:rsidRDefault="00785143">
      <w:r>
        <w:separator/>
      </w:r>
    </w:p>
  </w:footnote>
  <w:footnote w:type="continuationSeparator" w:id="0">
    <w:p w14:paraId="02DE3BE9" w14:textId="77777777" w:rsidR="00785143" w:rsidRDefault="007851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FB53B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734CDB1" wp14:editId="2FC3B8B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61DAE" w14:textId="77777777" w:rsidR="00AE3E37" w:rsidRPr="00B7245D" w:rsidRDefault="00A9710C">
                          <w:pPr>
                            <w:spacing w:before="2" w:line="249" w:lineRule="auto"/>
                            <w:ind w:left="156" w:right="18" w:hanging="137"/>
                            <w:rPr>
                              <w:rFonts w:ascii="Arial"/>
                              <w:color w:val="FFFFFF" w:themeColor="background1"/>
                              <w:sz w:val="14"/>
                              <w:lang w:val="fr-FR"/>
                            </w:rPr>
                          </w:pPr>
                          <w:r w:rsidRPr="00B7245D">
                            <w:rPr>
                              <w:rFonts w:ascii="Arial"/>
                              <w:color w:val="FFFFFF" w:themeColor="background1"/>
                              <w:sz w:val="14"/>
                              <w:lang w:val="fr-FR"/>
                            </w:rPr>
                            <w:t xml:space="preserve">T Furuta et al., J Pai n Relief 2016, </w:t>
                          </w:r>
                          <w:proofErr w:type="gramStart"/>
                          <w:r w:rsidRPr="00B7245D">
                            <w:rPr>
                              <w:rFonts w:ascii="Arial"/>
                              <w:color w:val="FFFFFF" w:themeColor="background1"/>
                              <w:sz w:val="14"/>
                              <w:lang w:val="fr-FR"/>
                            </w:rPr>
                            <w:t>5:</w:t>
                          </w:r>
                          <w:proofErr w:type="gramEnd"/>
                          <w:r w:rsidRPr="00B7245D">
                            <w:rPr>
                              <w:rFonts w:ascii="Arial"/>
                              <w:color w:val="FFFFFF" w:themeColor="background1"/>
                              <w:sz w:val="14"/>
                              <w:lang w:val="fr-FR"/>
                            </w:rPr>
                            <w:t xml:space="preserve">3(Suppl) </w:t>
                          </w:r>
                          <w:hyperlink r:id="rId1">
                            <w:r w:rsidRPr="00B7245D">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34CDB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9161DAE" w14:textId="77777777" w:rsidR="00AE3E37" w:rsidRPr="00B7245D" w:rsidRDefault="00A9710C">
                    <w:pPr>
                      <w:spacing w:before="2" w:line="249" w:lineRule="auto"/>
                      <w:ind w:left="156" w:right="18" w:hanging="137"/>
                      <w:rPr>
                        <w:rFonts w:ascii="Arial"/>
                        <w:color w:val="FFFFFF" w:themeColor="background1"/>
                        <w:sz w:val="14"/>
                        <w:lang w:val="fr-FR"/>
                      </w:rPr>
                    </w:pPr>
                    <w:r w:rsidRPr="00B7245D">
                      <w:rPr>
                        <w:rFonts w:ascii="Arial"/>
                        <w:color w:val="FFFFFF" w:themeColor="background1"/>
                        <w:sz w:val="14"/>
                        <w:lang w:val="fr-FR"/>
                      </w:rPr>
                      <w:t xml:space="preserve">T Furuta et al., J Pai n Relief 2016, 5:3(Suppl) </w:t>
                    </w:r>
                    <w:r w:rsidR="00EC33B1">
                      <w:fldChar w:fldCharType="begin"/>
                    </w:r>
                    <w:r w:rsidR="00EC33B1" w:rsidRPr="00B7245D">
                      <w:rPr>
                        <w:lang w:val="fr-FR"/>
                      </w:rPr>
                      <w:instrText xml:space="preserve"> HYPERLINK "http://dx.doi.org/10.4172/2167-0846.C1.006" \h </w:instrText>
                    </w:r>
                    <w:r w:rsidR="00EC33B1">
                      <w:fldChar w:fldCharType="separate"/>
                    </w:r>
                    <w:r w:rsidRPr="00B7245D">
                      <w:rPr>
                        <w:rFonts w:ascii="Arial"/>
                        <w:color w:val="FFFFFF" w:themeColor="background1"/>
                        <w:sz w:val="14"/>
                        <w:lang w:val="fr-FR"/>
                      </w:rPr>
                      <w:t>http://dx.doi.org/10.4172/2167-0846.C1.006</w:t>
                    </w:r>
                    <w:r w:rsidR="00EC33B1">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29163C1" wp14:editId="1EAC837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66369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A484F2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163C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7666369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A484F2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5755638"/>
    <w:multiLevelType w:val="hybridMultilevel"/>
    <w:tmpl w:val="BBA89CE8"/>
    <w:lvl w:ilvl="0" w:tplc="E79AB4F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392952"/>
    <w:rsid w:val="00404E5B"/>
    <w:rsid w:val="00414F7B"/>
    <w:rsid w:val="0042613D"/>
    <w:rsid w:val="004355DC"/>
    <w:rsid w:val="004749B4"/>
    <w:rsid w:val="00494130"/>
    <w:rsid w:val="004B2CD7"/>
    <w:rsid w:val="004F3523"/>
    <w:rsid w:val="005973B9"/>
    <w:rsid w:val="005B3A56"/>
    <w:rsid w:val="006060CE"/>
    <w:rsid w:val="0063497F"/>
    <w:rsid w:val="00725846"/>
    <w:rsid w:val="00785143"/>
    <w:rsid w:val="00873DF0"/>
    <w:rsid w:val="008756E6"/>
    <w:rsid w:val="00882F69"/>
    <w:rsid w:val="008A08B6"/>
    <w:rsid w:val="00957894"/>
    <w:rsid w:val="009B2D44"/>
    <w:rsid w:val="00A07E82"/>
    <w:rsid w:val="00A9710C"/>
    <w:rsid w:val="00AE3E37"/>
    <w:rsid w:val="00B21A57"/>
    <w:rsid w:val="00B7245D"/>
    <w:rsid w:val="00C33602"/>
    <w:rsid w:val="00CA3489"/>
    <w:rsid w:val="00CD6F55"/>
    <w:rsid w:val="00DE3104"/>
    <w:rsid w:val="00E26B10"/>
    <w:rsid w:val="00E87D06"/>
    <w:rsid w:val="00EC33B1"/>
    <w:rsid w:val="00F72EEA"/>
    <w:rsid w:val="00F84CAE"/>
    <w:rsid w:val="00F92AB7"/>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192DC5"/>
  <w15:docId w15:val="{AA16831D-D747-4271-8D19-ED37B68F8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725846"/>
    <w:pPr>
      <w:widowControl/>
      <w:spacing w:beforeAutospacing="1" w:afterAutospacing="1"/>
      <w:jc w:val="both"/>
    </w:pPr>
    <w:rPr>
      <w:lang w:val="fr-F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392952"/>
  </w:style>
  <w:style w:type="character" w:styleId="Emphasis">
    <w:name w:val="Emphasis"/>
    <w:basedOn w:val="DefaultParagraphFont"/>
    <w:uiPriority w:val="20"/>
    <w:qFormat/>
    <w:rsid w:val="00392952"/>
    <w:rPr>
      <w:i/>
      <w:iCs/>
    </w:rPr>
  </w:style>
  <w:style w:type="character" w:styleId="UnresolvedMention">
    <w:name w:val="Unresolved Mention"/>
    <w:basedOn w:val="DefaultParagraphFont"/>
    <w:uiPriority w:val="99"/>
    <w:semiHidden/>
    <w:unhideWhenUsed/>
    <w:rsid w:val="009578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ellami.douj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587</Words>
  <Characters>3233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douja</cp:lastModifiedBy>
  <cp:revision>6</cp:revision>
  <dcterms:created xsi:type="dcterms:W3CDTF">2020-07-23T10:00:00Z</dcterms:created>
  <dcterms:modified xsi:type="dcterms:W3CDTF">2020-11-03T11:01:00Z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