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FB6E2" w14:textId="2758D529" w:rsidR="00AE3E37" w:rsidRPr="00486B0B" w:rsidRDefault="00F67477" w:rsidP="00494130">
      <w:pPr>
        <w:pStyle w:val="Heading1"/>
        <w:spacing w:before="170"/>
        <w:ind w:left="0"/>
      </w:pPr>
      <w:r w:rsidRPr="00486B0B">
        <w:rPr>
          <w:color w:val="337AB7"/>
        </w:rPr>
        <w:t>Thermal energy storage in phase change materials: Achievements so far and challenges ahead</w:t>
      </w:r>
    </w:p>
    <w:p w14:paraId="3B07D8F0" w14:textId="3B169A0B" w:rsidR="005973B9" w:rsidRPr="00486B0B" w:rsidRDefault="00596FA8" w:rsidP="00596FA8">
      <w:pPr>
        <w:pStyle w:val="BodyText"/>
        <w:spacing w:before="73" w:line="198" w:lineRule="exact"/>
        <w:ind w:left="100" w:right="5445"/>
        <w:rPr>
          <w:rFonts w:ascii="Arial"/>
        </w:rPr>
      </w:pPr>
      <w:r w:rsidRPr="00486B0B">
        <w:rPr>
          <w:rFonts w:ascii="Arial"/>
        </w:rPr>
        <w:t>Mahmood Mastani Joybari</w:t>
      </w:r>
      <w:r w:rsidR="005973B9" w:rsidRPr="00486B0B">
        <w:rPr>
          <w:rFonts w:ascii="Arial"/>
        </w:rPr>
        <w:t xml:space="preserve">, PhD, </w:t>
      </w:r>
      <w:r w:rsidRPr="00486B0B">
        <w:rPr>
          <w:rFonts w:ascii="Arial"/>
        </w:rPr>
        <w:t>Concordia University</w:t>
      </w:r>
      <w:r w:rsidR="005973B9" w:rsidRPr="00486B0B">
        <w:rPr>
          <w:rFonts w:ascii="Arial"/>
        </w:rPr>
        <w:t xml:space="preserve">, </w:t>
      </w:r>
      <w:r w:rsidRPr="00486B0B">
        <w:rPr>
          <w:rFonts w:ascii="Arial"/>
        </w:rPr>
        <w:t>Canada</w:t>
      </w:r>
    </w:p>
    <w:p w14:paraId="371A4B0D" w14:textId="77777777" w:rsidR="00AE3E37" w:rsidRPr="00486B0B" w:rsidRDefault="00AE3E37">
      <w:pPr>
        <w:pStyle w:val="BodyText"/>
        <w:rPr>
          <w:rFonts w:ascii="Arial"/>
          <w:sz w:val="20"/>
        </w:rPr>
      </w:pPr>
    </w:p>
    <w:p w14:paraId="06BDFFBA" w14:textId="77777777" w:rsidR="00AE3E37" w:rsidRPr="00486B0B" w:rsidRDefault="00AE3E37">
      <w:pPr>
        <w:pStyle w:val="BodyText"/>
        <w:spacing w:before="3"/>
        <w:rPr>
          <w:rFonts w:ascii="Arial"/>
          <w:sz w:val="21"/>
        </w:rPr>
      </w:pPr>
    </w:p>
    <w:p w14:paraId="4208396B" w14:textId="77777777" w:rsidR="00AE3E37" w:rsidRPr="00486B0B" w:rsidRDefault="00AE3E37">
      <w:pPr>
        <w:rPr>
          <w:rFonts w:ascii="Arial"/>
          <w:sz w:val="21"/>
        </w:rPr>
        <w:sectPr w:rsidR="00AE3E37" w:rsidRPr="00486B0B">
          <w:headerReference w:type="default" r:id="rId7"/>
          <w:footerReference w:type="default" r:id="rId8"/>
          <w:type w:val="continuous"/>
          <w:pgSz w:w="11910" w:h="16840"/>
          <w:pgMar w:top="1740" w:right="600" w:bottom="840" w:left="620" w:header="541" w:footer="642" w:gutter="0"/>
          <w:cols w:space="720"/>
        </w:sectPr>
      </w:pPr>
    </w:p>
    <w:p w14:paraId="508F9636" w14:textId="4E662A6D" w:rsidR="00AE3E37" w:rsidRPr="00486B0B" w:rsidRDefault="00A9710C">
      <w:pPr>
        <w:pStyle w:val="Heading3"/>
        <w:spacing w:before="147"/>
        <w:jc w:val="both"/>
      </w:pPr>
      <w:r w:rsidRPr="00486B0B">
        <w:rPr>
          <w:color w:val="BF5A14"/>
        </w:rPr>
        <w:t>Abstract</w:t>
      </w:r>
    </w:p>
    <w:p w14:paraId="6880DBCF" w14:textId="3B0232D4" w:rsidR="00AF649F" w:rsidRPr="00486B0B" w:rsidRDefault="00B035B9" w:rsidP="00486B0B">
      <w:pPr>
        <w:pStyle w:val="BodyText"/>
        <w:spacing w:before="90" w:line="280" w:lineRule="auto"/>
        <w:ind w:left="100"/>
        <w:jc w:val="both"/>
      </w:pPr>
      <w:r w:rsidRPr="00486B0B">
        <w:t xml:space="preserve">In recent years, </w:t>
      </w:r>
      <w:r w:rsidR="00A9040D" w:rsidRPr="00486B0B">
        <w:t xml:space="preserve">mainly due to the environmental reasons, </w:t>
      </w:r>
      <w:r w:rsidRPr="00486B0B">
        <w:t xml:space="preserve">the share of renewable energy sources has </w:t>
      </w:r>
      <w:r w:rsidR="00A9040D" w:rsidRPr="00486B0B">
        <w:t>been on the rise</w:t>
      </w:r>
      <w:r w:rsidRPr="00486B0B">
        <w:t xml:space="preserve">. A major challenge for such sources is their intermittent availability. To tackle the resulting time mismatch between energy supply and demand, energy storage especially in phase change materials (PCMs) received considerable attention. </w:t>
      </w:r>
      <w:r w:rsidR="00917493" w:rsidRPr="00486B0B">
        <w:t xml:space="preserve">Nevertheless, PCMs are far from widespread commercialization due to some inherent shortcomings especially </w:t>
      </w:r>
      <w:r w:rsidR="00A9040D" w:rsidRPr="00486B0B">
        <w:t xml:space="preserve">their </w:t>
      </w:r>
      <w:r w:rsidR="00917493" w:rsidRPr="00486B0B">
        <w:t xml:space="preserve">low thermal conductivity. In addition, most of the existing studies considered </w:t>
      </w:r>
      <w:r w:rsidR="00A9040D" w:rsidRPr="00486B0B">
        <w:t>on</w:t>
      </w:r>
      <w:r w:rsidR="00B507D9" w:rsidRPr="00486B0B">
        <w:t>e</w:t>
      </w:r>
      <w:r w:rsidR="00A9040D" w:rsidRPr="00486B0B">
        <w:t>-time or consecutive phase change processes</w:t>
      </w:r>
      <w:r w:rsidR="00917493" w:rsidRPr="00486B0B">
        <w:t xml:space="preserve">. </w:t>
      </w:r>
      <w:proofErr w:type="gramStart"/>
      <w:r w:rsidR="00917493" w:rsidRPr="00486B0B">
        <w:t>In reality, however</w:t>
      </w:r>
      <w:proofErr w:type="gramEnd"/>
      <w:r w:rsidR="00917493" w:rsidRPr="00486B0B">
        <w:t>, PCM</w:t>
      </w:r>
      <w:r w:rsidR="00A9040D" w:rsidRPr="00486B0B">
        <w:t>s</w:t>
      </w:r>
      <w:r w:rsidR="00917493" w:rsidRPr="00486B0B">
        <w:t xml:space="preserve"> might </w:t>
      </w:r>
      <w:r w:rsidR="00A9040D" w:rsidRPr="00486B0B">
        <w:t>undergo simultaneous charging and discharging</w:t>
      </w:r>
      <w:r w:rsidR="00917493" w:rsidRPr="00486B0B">
        <w:t xml:space="preserve">. Consequently, </w:t>
      </w:r>
      <w:r w:rsidR="00A9040D" w:rsidRPr="00486B0B">
        <w:t xml:space="preserve">to tackle such shortcomings in the literature, </w:t>
      </w:r>
      <w:r w:rsidR="00917493" w:rsidRPr="00486B0B">
        <w:t>comprehensive experimental</w:t>
      </w:r>
      <w:r w:rsidR="00A9040D" w:rsidRPr="00486B0B">
        <w:t xml:space="preserve"> and </w:t>
      </w:r>
      <w:r w:rsidR="00917493" w:rsidRPr="00486B0B">
        <w:t xml:space="preserve">numerical investigations have been conducted by our team </w:t>
      </w:r>
      <w:r w:rsidR="00A9040D" w:rsidRPr="00486B0B">
        <w:t>as part of the contribution to Annex 31 of International Energy Agency (IEA-ECES Annex 31)</w:t>
      </w:r>
      <w:r w:rsidR="00917493" w:rsidRPr="00486B0B">
        <w:t xml:space="preserve">. </w:t>
      </w:r>
      <w:r w:rsidR="00AF649F" w:rsidRPr="00486B0B">
        <w:t>The major topics covered so far include:</w:t>
      </w:r>
    </w:p>
    <w:p w14:paraId="02B5EC45" w14:textId="77777777" w:rsidR="00E40E7E" w:rsidRPr="00486B0B" w:rsidRDefault="00AF649F" w:rsidP="00AF649F">
      <w:pPr>
        <w:pStyle w:val="BodyText"/>
        <w:spacing w:before="90" w:line="280" w:lineRule="auto"/>
        <w:ind w:left="100"/>
        <w:jc w:val="both"/>
      </w:pPr>
      <w:r w:rsidRPr="00486B0B">
        <w:t>(a) characterization of heat transfer mechanism in vertical storage units</w:t>
      </w:r>
    </w:p>
    <w:p w14:paraId="632C3A6B" w14:textId="1369D490" w:rsidR="00E40E7E" w:rsidRPr="00486B0B" w:rsidRDefault="00AF649F" w:rsidP="00AF649F">
      <w:pPr>
        <w:pStyle w:val="BodyText"/>
        <w:spacing w:before="90" w:line="280" w:lineRule="auto"/>
        <w:ind w:left="100"/>
        <w:jc w:val="both"/>
      </w:pPr>
      <w:r w:rsidRPr="00486B0B">
        <w:t xml:space="preserve">(b) analysis of </w:t>
      </w:r>
      <w:r w:rsidR="00A9040D" w:rsidRPr="00486B0B">
        <w:t xml:space="preserve">the effect of storage </w:t>
      </w:r>
      <w:r w:rsidRPr="00486B0B">
        <w:t>shape on vertical units (cylindrical vs. conical)</w:t>
      </w:r>
    </w:p>
    <w:p w14:paraId="4467F8CF" w14:textId="6B08E196" w:rsidR="00E40E7E" w:rsidRPr="00486B0B" w:rsidRDefault="00AF649F" w:rsidP="00AF649F">
      <w:pPr>
        <w:pStyle w:val="BodyText"/>
        <w:spacing w:before="90" w:line="280" w:lineRule="auto"/>
        <w:ind w:left="100"/>
        <w:jc w:val="both"/>
      </w:pPr>
      <w:r w:rsidRPr="00486B0B">
        <w:t xml:space="preserve">(c) analysis of </w:t>
      </w:r>
      <w:r w:rsidR="00A9040D" w:rsidRPr="00486B0B">
        <w:t xml:space="preserve">the effect of </w:t>
      </w:r>
      <w:r w:rsidRPr="00486B0B">
        <w:t>orientation on storage units (vertical vs. horizontal)</w:t>
      </w:r>
    </w:p>
    <w:p w14:paraId="6C7E97D3" w14:textId="77777777" w:rsidR="00E40E7E" w:rsidRPr="00486B0B" w:rsidRDefault="00AF649F" w:rsidP="00AF649F">
      <w:pPr>
        <w:pStyle w:val="BodyText"/>
        <w:spacing w:before="90" w:line="280" w:lineRule="auto"/>
        <w:ind w:left="100"/>
        <w:jc w:val="both"/>
      </w:pPr>
      <w:r w:rsidRPr="00486B0B">
        <w:t>(d) characterization of heat transfer mechanism under simultaneous charging and discharging</w:t>
      </w:r>
    </w:p>
    <w:p w14:paraId="3091B62E" w14:textId="3B2E0709" w:rsidR="00E40E7E" w:rsidRPr="00486B0B" w:rsidRDefault="00AF649F" w:rsidP="00AF649F">
      <w:pPr>
        <w:pStyle w:val="BodyText"/>
        <w:spacing w:before="90" w:line="280" w:lineRule="auto"/>
        <w:ind w:left="100"/>
        <w:jc w:val="both"/>
      </w:pPr>
      <w:r w:rsidRPr="00486B0B">
        <w:t xml:space="preserve">(e) analysis of </w:t>
      </w:r>
      <w:r w:rsidR="00A9040D" w:rsidRPr="00486B0B">
        <w:t xml:space="preserve">the effect of </w:t>
      </w:r>
      <w:r w:rsidRPr="00486B0B">
        <w:t>geometrical properties on vertical unit</w:t>
      </w:r>
      <w:r w:rsidR="00A9040D" w:rsidRPr="00486B0B">
        <w:t>s</w:t>
      </w:r>
      <w:r w:rsidRPr="00486B0B">
        <w:t xml:space="preserve"> (shell to tube radius ratio)</w:t>
      </w:r>
    </w:p>
    <w:p w14:paraId="7FFA27ED" w14:textId="6FD0CA05" w:rsidR="00AF649F" w:rsidRPr="00486B0B" w:rsidRDefault="00AF649F" w:rsidP="00AF649F">
      <w:pPr>
        <w:pStyle w:val="BodyText"/>
        <w:spacing w:before="90" w:line="280" w:lineRule="auto"/>
        <w:ind w:left="100"/>
        <w:jc w:val="both"/>
      </w:pPr>
      <w:r w:rsidRPr="00486B0B">
        <w:t>(f) enhancement technique</w:t>
      </w:r>
      <w:r w:rsidR="00A9040D" w:rsidRPr="00486B0B">
        <w:t>s</w:t>
      </w:r>
      <w:r w:rsidRPr="00486B0B">
        <w:t xml:space="preserve"> in horizontal storage units (using multiple tubes, triplex tubes and/or fins).</w:t>
      </w:r>
    </w:p>
    <w:p w14:paraId="24AEB70B" w14:textId="4A57FE68" w:rsidR="00E40E7E" w:rsidRPr="00486B0B" w:rsidRDefault="00486B0B" w:rsidP="00AF649F">
      <w:pPr>
        <w:pStyle w:val="BodyText"/>
        <w:spacing w:before="90" w:line="280" w:lineRule="auto"/>
        <w:ind w:left="100"/>
        <w:jc w:val="both"/>
      </w:pPr>
      <w:r w:rsidRPr="00486B0B">
        <w:t>I</w:t>
      </w:r>
      <w:r w:rsidR="00A9040D" w:rsidRPr="00486B0B">
        <w:t>t can be understood from the outcomes that PCMs need further research to be widely accepted. In addition, further optimization studies are needed to exploit their potential to the full.</w:t>
      </w:r>
    </w:p>
    <w:p w14:paraId="3ADDC2F6" w14:textId="77777777" w:rsidR="00AE3E37" w:rsidRPr="00486B0B" w:rsidRDefault="00A9710C">
      <w:pPr>
        <w:pStyle w:val="Heading3"/>
        <w:spacing w:before="74"/>
      </w:pPr>
      <w:r w:rsidRPr="00486B0B">
        <w:rPr>
          <w:b w:val="0"/>
        </w:rPr>
        <w:br w:type="column"/>
      </w:r>
      <w:r w:rsidRPr="00486B0B">
        <w:rPr>
          <w:color w:val="BF5A14"/>
        </w:rPr>
        <w:t>Image</w:t>
      </w:r>
    </w:p>
    <w:p w14:paraId="688D1E19" w14:textId="599760F5" w:rsidR="00AE3E37" w:rsidRPr="00486B0B" w:rsidRDefault="00486B0B" w:rsidP="00486B0B">
      <w:pPr>
        <w:pStyle w:val="BodyText"/>
        <w:spacing w:before="2"/>
        <w:jc w:val="center"/>
        <w:rPr>
          <w:rFonts w:ascii="Arial"/>
          <w:b/>
          <w:sz w:val="16"/>
        </w:rPr>
      </w:pPr>
      <w:r w:rsidRPr="00486B0B">
        <w:rPr>
          <w:noProof/>
        </w:rPr>
        <w:drawing>
          <wp:inline distT="0" distB="0" distL="0" distR="0" wp14:anchorId="1F6F7232" wp14:editId="2399E039">
            <wp:extent cx="3165475" cy="144712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447128"/>
                    </a:xfrm>
                    <a:prstGeom prst="rect">
                      <a:avLst/>
                    </a:prstGeom>
                    <a:noFill/>
                  </pic:spPr>
                </pic:pic>
              </a:graphicData>
            </a:graphic>
          </wp:inline>
        </w:drawing>
      </w:r>
    </w:p>
    <w:p w14:paraId="08C890E8" w14:textId="58EB024B" w:rsidR="005973B9" w:rsidRPr="00486B0B" w:rsidRDefault="005973B9" w:rsidP="005973B9">
      <w:pPr>
        <w:spacing w:line="204" w:lineRule="exact"/>
        <w:rPr>
          <w:rFonts w:ascii="Arial"/>
          <w:b/>
          <w:sz w:val="20"/>
        </w:rPr>
      </w:pPr>
      <w:r w:rsidRPr="00486B0B">
        <w:rPr>
          <w:rFonts w:ascii="Arial"/>
          <w:b/>
          <w:color w:val="BF5A14"/>
          <w:sz w:val="20"/>
        </w:rPr>
        <w:br/>
        <w:t>Recent Publications</w:t>
      </w:r>
    </w:p>
    <w:p w14:paraId="116BD65F" w14:textId="64BCAAB8" w:rsidR="005973B9" w:rsidRPr="00486B0B" w:rsidRDefault="00121210" w:rsidP="00121210">
      <w:pPr>
        <w:pStyle w:val="ListParagraph"/>
        <w:numPr>
          <w:ilvl w:val="0"/>
          <w:numId w:val="3"/>
        </w:numPr>
        <w:tabs>
          <w:tab w:val="left" w:pos="384"/>
        </w:tabs>
        <w:spacing w:before="103" w:line="216" w:lineRule="exact"/>
        <w:ind w:right="138" w:hanging="283"/>
        <w:rPr>
          <w:rFonts w:asciiTheme="minorHAnsi" w:hAnsiTheme="minorHAnsi"/>
          <w:sz w:val="18"/>
          <w:szCs w:val="18"/>
        </w:rPr>
      </w:pPr>
      <w:r w:rsidRPr="00486B0B">
        <w:rPr>
          <w:rFonts w:asciiTheme="minorHAnsi" w:hAnsiTheme="minorHAnsi" w:cs="Arial"/>
          <w:color w:val="222222"/>
          <w:sz w:val="18"/>
          <w:szCs w:val="18"/>
          <w:shd w:val="clear" w:color="auto" w:fill="FFFFFF"/>
        </w:rPr>
        <w:t>Joybari MM, Seddegh S, Wang X, Haghighat F (2019). Experimental investigation of multiple tube heat transfer enhancement in a vertical cylindrical latent heat thermal energy storage system. Renewable energy, 140: 234-244.</w:t>
      </w:r>
    </w:p>
    <w:p w14:paraId="710BB5ED" w14:textId="7CC7CAA5" w:rsidR="005973B9" w:rsidRPr="00486B0B" w:rsidRDefault="00121210" w:rsidP="00121210">
      <w:pPr>
        <w:pStyle w:val="ListParagraph"/>
        <w:numPr>
          <w:ilvl w:val="0"/>
          <w:numId w:val="3"/>
        </w:numPr>
        <w:tabs>
          <w:tab w:val="left" w:pos="384"/>
        </w:tabs>
        <w:spacing w:line="216" w:lineRule="exact"/>
        <w:ind w:right="137" w:hanging="283"/>
        <w:rPr>
          <w:sz w:val="18"/>
          <w:szCs w:val="18"/>
        </w:rPr>
      </w:pPr>
      <w:r w:rsidRPr="00486B0B">
        <w:rPr>
          <w:rFonts w:asciiTheme="minorHAnsi" w:hAnsiTheme="minorHAnsi"/>
          <w:sz w:val="18"/>
          <w:szCs w:val="18"/>
        </w:rPr>
        <w:t>Joybari MM, Haghighat F, Seddeg</w:t>
      </w:r>
      <w:r w:rsidR="00425AEC" w:rsidRPr="00486B0B">
        <w:rPr>
          <w:rFonts w:asciiTheme="minorHAnsi" w:hAnsiTheme="minorHAnsi"/>
          <w:sz w:val="18"/>
          <w:szCs w:val="18"/>
        </w:rPr>
        <w:t>h</w:t>
      </w:r>
      <w:r w:rsidRPr="00486B0B">
        <w:rPr>
          <w:rFonts w:asciiTheme="minorHAnsi" w:hAnsiTheme="minorHAnsi"/>
          <w:sz w:val="18"/>
          <w:szCs w:val="18"/>
        </w:rPr>
        <w:t xml:space="preserve"> S, Yuan Y (2019). Simultaneous charging and discharging of phase change materials: Development of correlation for liquid fraction. Solar Energy, 188: 788-798.</w:t>
      </w:r>
    </w:p>
    <w:p w14:paraId="694F46DF" w14:textId="4E2E98A2" w:rsidR="005973B9" w:rsidRPr="00486B0B" w:rsidRDefault="00A07D51" w:rsidP="005973B9">
      <w:pPr>
        <w:pStyle w:val="ListParagraph"/>
        <w:numPr>
          <w:ilvl w:val="0"/>
          <w:numId w:val="3"/>
        </w:numPr>
        <w:tabs>
          <w:tab w:val="left" w:pos="384"/>
        </w:tabs>
        <w:spacing w:line="216" w:lineRule="exact"/>
        <w:ind w:right="138" w:hanging="283"/>
        <w:rPr>
          <w:sz w:val="18"/>
          <w:szCs w:val="18"/>
        </w:rPr>
      </w:pPr>
      <w:r w:rsidRPr="00486B0B">
        <w:rPr>
          <w:sz w:val="18"/>
          <w:szCs w:val="18"/>
        </w:rPr>
        <w:t>Joybari MM, Haghighat F, Seddegh S (2017). Natural convection characterization during melting of phase change materials: Development of a simplified front tracking method. Solar Energy, 158: 711-720.</w:t>
      </w:r>
    </w:p>
    <w:p w14:paraId="4C757F09" w14:textId="31C6AEE0" w:rsidR="005973B9" w:rsidRPr="00486B0B" w:rsidRDefault="00A07D51" w:rsidP="00A07D51">
      <w:pPr>
        <w:pStyle w:val="ListParagraph"/>
        <w:numPr>
          <w:ilvl w:val="0"/>
          <w:numId w:val="3"/>
        </w:numPr>
        <w:tabs>
          <w:tab w:val="left" w:pos="384"/>
        </w:tabs>
        <w:spacing w:line="216" w:lineRule="exact"/>
        <w:ind w:right="138" w:hanging="283"/>
        <w:rPr>
          <w:sz w:val="18"/>
          <w:szCs w:val="18"/>
        </w:rPr>
      </w:pPr>
      <w:r w:rsidRPr="00486B0B">
        <w:rPr>
          <w:sz w:val="18"/>
          <w:szCs w:val="18"/>
        </w:rPr>
        <w:t>Joybari MM, Haghighat F, Seddegh S, Al-</w:t>
      </w:r>
      <w:proofErr w:type="spellStart"/>
      <w:r w:rsidRPr="00486B0B">
        <w:rPr>
          <w:sz w:val="18"/>
          <w:szCs w:val="18"/>
        </w:rPr>
        <w:t>Abidi</w:t>
      </w:r>
      <w:proofErr w:type="spellEnd"/>
      <w:r w:rsidRPr="00486B0B">
        <w:rPr>
          <w:sz w:val="18"/>
          <w:szCs w:val="18"/>
        </w:rPr>
        <w:t xml:space="preserve"> AA (2017). Heat transfer enhancement of phase change materials by fins under simultaneous charging and discharging. Energy Conversion and Management, 152: 136-156.</w:t>
      </w:r>
    </w:p>
    <w:p w14:paraId="123F8850" w14:textId="50050D94" w:rsidR="00AE3E37" w:rsidRPr="00486B0B" w:rsidRDefault="00A07D51" w:rsidP="00A07D51">
      <w:pPr>
        <w:pStyle w:val="ListParagraph"/>
        <w:numPr>
          <w:ilvl w:val="0"/>
          <w:numId w:val="3"/>
        </w:numPr>
        <w:tabs>
          <w:tab w:val="left" w:pos="384"/>
        </w:tabs>
        <w:spacing w:line="216" w:lineRule="exact"/>
        <w:ind w:right="138" w:hanging="283"/>
        <w:rPr>
          <w:sz w:val="18"/>
          <w:szCs w:val="18"/>
        </w:rPr>
      </w:pPr>
      <w:r w:rsidRPr="00486B0B">
        <w:rPr>
          <w:sz w:val="18"/>
          <w:szCs w:val="18"/>
        </w:rPr>
        <w:t>Joybari MM, Haghighat F, Seddegh S (2017). Numerical investigation of a triplex tube heat exchanger with phase change material: Simultaneous charging and discharging. Energy and Buildings, 139: 426-438.</w:t>
      </w:r>
    </w:p>
    <w:p w14:paraId="2A5D2654" w14:textId="4580452E" w:rsidR="00AE3E37" w:rsidRPr="00486B0B" w:rsidRDefault="00AE3E37">
      <w:pPr>
        <w:spacing w:line="200" w:lineRule="exact"/>
        <w:jc w:val="both"/>
        <w:rPr>
          <w:rFonts w:ascii="Calibri" w:hAnsi="Calibri"/>
        </w:rPr>
        <w:sectPr w:rsidR="00AE3E37" w:rsidRPr="00486B0B">
          <w:type w:val="continuous"/>
          <w:pgSz w:w="11910" w:h="16840"/>
          <w:pgMar w:top="1740" w:right="600" w:bottom="840" w:left="620" w:header="720" w:footer="720" w:gutter="0"/>
          <w:cols w:num="2" w:space="720" w:equalWidth="0">
            <w:col w:w="5214" w:space="138"/>
            <w:col w:w="5338"/>
          </w:cols>
        </w:sectPr>
      </w:pPr>
    </w:p>
    <w:p w14:paraId="52942002" w14:textId="77777777" w:rsidR="00AE3E37" w:rsidRPr="00486B0B" w:rsidRDefault="00AE3E37">
      <w:pPr>
        <w:pStyle w:val="BodyText"/>
        <w:rPr>
          <w:rFonts w:ascii="Calibri"/>
          <w:sz w:val="20"/>
        </w:rPr>
      </w:pPr>
    </w:p>
    <w:p w14:paraId="179CCF1C" w14:textId="77777777" w:rsidR="00AE3E37" w:rsidRPr="00486B0B" w:rsidRDefault="00292ED9">
      <w:pPr>
        <w:pStyle w:val="BodyText"/>
        <w:spacing w:line="40" w:lineRule="exact"/>
        <w:ind w:left="2202"/>
        <w:rPr>
          <w:rFonts w:ascii="Calibri"/>
          <w:sz w:val="4"/>
        </w:rPr>
      </w:pPr>
      <w:r w:rsidRPr="00486B0B">
        <w:rPr>
          <w:rFonts w:ascii="Calibri"/>
          <w:noProof/>
          <w:sz w:val="4"/>
          <w:lang w:eastAsia="en-IN"/>
        </w:rPr>
        <mc:AlternateContent>
          <mc:Choice Requires="wpg">
            <w:drawing>
              <wp:inline distT="0" distB="0" distL="0" distR="0" wp14:anchorId="533994F8" wp14:editId="6314D02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59CD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5C22B9A" w14:textId="150B5964" w:rsidR="00AE3E37" w:rsidRPr="00486B0B" w:rsidRDefault="008756E6" w:rsidP="00404E5B">
      <w:pPr>
        <w:spacing w:before="92"/>
        <w:ind w:right="4234"/>
        <w:rPr>
          <w:rFonts w:ascii="Arial"/>
        </w:rPr>
      </w:pPr>
      <w:r w:rsidRPr="00486B0B">
        <w:rPr>
          <w:noProof/>
        </w:rPr>
        <w:t xml:space="preserve">              </w:t>
      </w:r>
      <w:r w:rsidRPr="00486B0B">
        <w:rPr>
          <w:noProof/>
          <w:lang w:eastAsia="en-IN"/>
        </w:rPr>
        <w:drawing>
          <wp:inline distT="0" distB="0" distL="0" distR="0" wp14:anchorId="30831F45" wp14:editId="31537A8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86B0B">
        <w:rPr>
          <w:rFonts w:ascii="Arial"/>
          <w:color w:val="BF5A14"/>
        </w:rPr>
        <w:t>Biography</w:t>
      </w:r>
    </w:p>
    <w:p w14:paraId="350FA942" w14:textId="2905610D" w:rsidR="00AE3E37" w:rsidRPr="00486B0B" w:rsidRDefault="00596FA8" w:rsidP="00394301">
      <w:pPr>
        <w:spacing w:before="41" w:line="154" w:lineRule="exact"/>
        <w:ind w:left="213" w:right="231"/>
        <w:jc w:val="both"/>
        <w:rPr>
          <w:rFonts w:ascii="Arial"/>
          <w:sz w:val="14"/>
        </w:rPr>
      </w:pPr>
      <w:r w:rsidRPr="00486B0B">
        <w:rPr>
          <w:rFonts w:ascii="Arial"/>
          <w:sz w:val="14"/>
        </w:rPr>
        <w:t xml:space="preserve">Mahmood Mastani Joybari </w:t>
      </w:r>
      <w:r w:rsidR="00A9710C" w:rsidRPr="00486B0B">
        <w:rPr>
          <w:rFonts w:ascii="Arial"/>
          <w:sz w:val="14"/>
        </w:rPr>
        <w:t xml:space="preserve">has </w:t>
      </w:r>
      <w:r w:rsidR="00A07D51" w:rsidRPr="00486B0B">
        <w:rPr>
          <w:rFonts w:ascii="Arial"/>
          <w:sz w:val="14"/>
        </w:rPr>
        <w:t>his</w:t>
      </w:r>
      <w:r w:rsidR="00A9710C" w:rsidRPr="00486B0B">
        <w:rPr>
          <w:rFonts w:ascii="Arial"/>
          <w:sz w:val="14"/>
        </w:rPr>
        <w:t xml:space="preserve"> expertise in </w:t>
      </w:r>
      <w:r w:rsidR="00A9040D" w:rsidRPr="00486B0B">
        <w:rPr>
          <w:rFonts w:ascii="Arial"/>
          <w:sz w:val="14"/>
        </w:rPr>
        <w:t>thermal energy storage systems, especially phase change materials</w:t>
      </w:r>
      <w:r w:rsidR="00A9710C" w:rsidRPr="00486B0B">
        <w:rPr>
          <w:rFonts w:ascii="Arial"/>
          <w:sz w:val="14"/>
        </w:rPr>
        <w:t xml:space="preserve">. </w:t>
      </w:r>
      <w:r w:rsidR="00394301" w:rsidRPr="00486B0B">
        <w:rPr>
          <w:rFonts w:ascii="Arial"/>
          <w:sz w:val="14"/>
        </w:rPr>
        <w:t xml:space="preserve">He obtained his PhD in Building Engineering from Concordia University. </w:t>
      </w:r>
      <w:r w:rsidR="00B507D9" w:rsidRPr="00486B0B">
        <w:rPr>
          <w:rFonts w:ascii="Arial"/>
          <w:sz w:val="14"/>
        </w:rPr>
        <w:t>H</w:t>
      </w:r>
      <w:r w:rsidR="00A9040D" w:rsidRPr="00486B0B">
        <w:rPr>
          <w:rFonts w:ascii="Arial"/>
          <w:sz w:val="14"/>
        </w:rPr>
        <w:t xml:space="preserve">e participated in the multinational </w:t>
      </w:r>
      <w:r w:rsidR="00B90969" w:rsidRPr="00486B0B">
        <w:rPr>
          <w:rFonts w:ascii="Arial"/>
          <w:sz w:val="14"/>
        </w:rPr>
        <w:t xml:space="preserve">team of </w:t>
      </w:r>
      <w:r w:rsidR="00394301" w:rsidRPr="00486B0B">
        <w:rPr>
          <w:rFonts w:ascii="Arial"/>
          <w:sz w:val="14"/>
        </w:rPr>
        <w:t>Annex 31 of the International Energy Agency (IEA-ECES Annex 31) both in terms of contribution and preparation of the final report</w:t>
      </w:r>
      <w:r w:rsidR="00A9710C" w:rsidRPr="00486B0B">
        <w:rPr>
          <w:rFonts w:ascii="Arial"/>
          <w:sz w:val="14"/>
        </w:rPr>
        <w:t>.</w:t>
      </w:r>
      <w:r w:rsidR="000E2911" w:rsidRPr="00486B0B">
        <w:rPr>
          <w:rFonts w:ascii="Arial"/>
          <w:sz w:val="14"/>
        </w:rPr>
        <w:t xml:space="preserve"> </w:t>
      </w:r>
      <w:r w:rsidR="00B90969" w:rsidRPr="00486B0B">
        <w:rPr>
          <w:rFonts w:ascii="Arial"/>
          <w:sz w:val="14"/>
        </w:rPr>
        <w:t>His main research contributions are in terms of natural convection within PCMs where he developed a simplified PCM front tracking method under melting as well as simultaneous charging and discharging.</w:t>
      </w:r>
    </w:p>
    <w:p w14:paraId="34DD1BA0" w14:textId="3880AE23" w:rsidR="00AE3E37" w:rsidRPr="00486B0B" w:rsidRDefault="00A9710C" w:rsidP="00596FA8">
      <w:pPr>
        <w:spacing w:before="62"/>
        <w:ind w:left="4217" w:right="4169"/>
        <w:jc w:val="center"/>
        <w:rPr>
          <w:rFonts w:ascii="Arial"/>
          <w:sz w:val="14"/>
        </w:rPr>
      </w:pPr>
      <w:r w:rsidRPr="00486B0B">
        <w:rPr>
          <w:rFonts w:ascii="Arial"/>
          <w:sz w:val="14"/>
        </w:rPr>
        <w:t xml:space="preserve">Email: </w:t>
      </w:r>
      <w:r w:rsidR="00596FA8" w:rsidRPr="00486B0B">
        <w:rPr>
          <w:rFonts w:ascii="Arial"/>
          <w:sz w:val="14"/>
        </w:rPr>
        <w:t xml:space="preserve">m_masta@encs.concordia.ca </w:t>
      </w:r>
    </w:p>
    <w:p w14:paraId="21798A04" w14:textId="77777777" w:rsidR="00AE3E37" w:rsidRPr="00486B0B" w:rsidRDefault="00292ED9">
      <w:pPr>
        <w:pStyle w:val="BodyText"/>
        <w:spacing w:before="2"/>
        <w:rPr>
          <w:rFonts w:ascii="Arial"/>
          <w:sz w:val="19"/>
        </w:rPr>
      </w:pPr>
      <w:bookmarkStart w:id="0" w:name="_GoBack"/>
      <w:r w:rsidRPr="00486B0B">
        <w:rPr>
          <w:noProof/>
          <w:lang w:eastAsia="en-IN"/>
        </w:rPr>
        <mc:AlternateContent>
          <mc:Choice Requires="wps">
            <w:drawing>
              <wp:anchor distT="0" distB="0" distL="0" distR="0" simplePos="0" relativeHeight="1072" behindDoc="0" locked="0" layoutInCell="1" allowOverlap="1" wp14:anchorId="6A8F5192" wp14:editId="17393C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07A8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End w:id="0"/>
    </w:p>
    <w:p w14:paraId="4EB07A78" w14:textId="77777777" w:rsidR="00AE3E37" w:rsidRPr="00486B0B" w:rsidRDefault="00AE3E37">
      <w:pPr>
        <w:pStyle w:val="BodyText"/>
        <w:rPr>
          <w:rFonts w:ascii="Arial"/>
          <w:sz w:val="20"/>
        </w:rPr>
      </w:pPr>
    </w:p>
    <w:p w14:paraId="63571E37" w14:textId="77777777" w:rsidR="00AE3E37" w:rsidRPr="00486B0B" w:rsidRDefault="00AE3E37">
      <w:pPr>
        <w:pStyle w:val="BodyText"/>
        <w:rPr>
          <w:rFonts w:ascii="Arial"/>
          <w:sz w:val="20"/>
        </w:rPr>
      </w:pPr>
    </w:p>
    <w:p w14:paraId="202F0EE8" w14:textId="77777777" w:rsidR="00AE3E37" w:rsidRPr="00486B0B" w:rsidRDefault="00AE3E37">
      <w:pPr>
        <w:pStyle w:val="BodyText"/>
        <w:spacing w:before="7"/>
        <w:rPr>
          <w:rFonts w:ascii="Arial"/>
          <w:sz w:val="29"/>
        </w:rPr>
      </w:pPr>
    </w:p>
    <w:p w14:paraId="485B9579" w14:textId="77777777" w:rsidR="00AE3E37" w:rsidRPr="00486B0B" w:rsidRDefault="00A9710C">
      <w:pPr>
        <w:spacing w:before="39"/>
        <w:ind w:left="100"/>
        <w:rPr>
          <w:rFonts w:ascii="Minion Pro"/>
          <w:b/>
          <w:sz w:val="20"/>
        </w:rPr>
      </w:pPr>
      <w:r w:rsidRPr="00486B0B">
        <w:rPr>
          <w:rFonts w:ascii="Minion Pro"/>
          <w:b/>
          <w:sz w:val="20"/>
        </w:rPr>
        <w:t>Notes/Comments:</w:t>
      </w:r>
    </w:p>
    <w:p w14:paraId="7C822FD3" w14:textId="77777777" w:rsidR="00AE3E37" w:rsidRPr="00486B0B" w:rsidRDefault="00AE3E37">
      <w:pPr>
        <w:rPr>
          <w:rFonts w:ascii="Minion Pro"/>
          <w:sz w:val="24"/>
        </w:rPr>
        <w:sectPr w:rsidR="00AE3E37" w:rsidRPr="00486B0B">
          <w:type w:val="continuous"/>
          <w:pgSz w:w="11910" w:h="16840"/>
          <w:pgMar w:top="1740" w:right="600" w:bottom="840" w:left="620" w:header="720" w:footer="720" w:gutter="0"/>
          <w:cols w:space="720"/>
        </w:sectPr>
      </w:pPr>
    </w:p>
    <w:p w14:paraId="2971AEEF" w14:textId="77777777" w:rsidR="00AE3E37" w:rsidRPr="00486B0B" w:rsidRDefault="00AE3E37">
      <w:pPr>
        <w:pStyle w:val="BodyText"/>
        <w:spacing w:before="3"/>
        <w:rPr>
          <w:rFonts w:ascii="Minion Pro"/>
          <w:sz w:val="26"/>
        </w:rPr>
      </w:pPr>
    </w:p>
    <w:sectPr w:rsidR="00AE3E37" w:rsidRPr="00486B0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2DE4A" w14:textId="77777777" w:rsidR="00FC088A" w:rsidRDefault="00FC088A">
      <w:r>
        <w:separator/>
      </w:r>
    </w:p>
  </w:endnote>
  <w:endnote w:type="continuationSeparator" w:id="0">
    <w:p w14:paraId="2805FFC7" w14:textId="77777777" w:rsidR="00FC088A" w:rsidRDefault="00FC0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1DC63" w14:textId="6220AC94"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73C7F8CB" wp14:editId="1A8998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2110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52F3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7F8CB"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2102110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752F3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101455" wp14:editId="32E8FF8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A6A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3A62C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01455"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22A6A3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3A62C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C86D3" w14:textId="77777777" w:rsidR="00FC088A" w:rsidRDefault="00FC088A">
      <w:r>
        <w:separator/>
      </w:r>
    </w:p>
  </w:footnote>
  <w:footnote w:type="continuationSeparator" w:id="0">
    <w:p w14:paraId="7EDA2005" w14:textId="77777777" w:rsidR="00FC088A" w:rsidRDefault="00FC0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CC59E" w14:textId="78A0E0EE"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293FBE9A" wp14:editId="4EE2089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BE8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84998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FBE9A"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552BE8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084998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1210"/>
    <w:rsid w:val="001263DF"/>
    <w:rsid w:val="002455EC"/>
    <w:rsid w:val="00284C6F"/>
    <w:rsid w:val="00292ED9"/>
    <w:rsid w:val="002A3BCF"/>
    <w:rsid w:val="00394301"/>
    <w:rsid w:val="00404E5B"/>
    <w:rsid w:val="00414F7B"/>
    <w:rsid w:val="00425AEC"/>
    <w:rsid w:val="004355DC"/>
    <w:rsid w:val="004749B4"/>
    <w:rsid w:val="00486B0B"/>
    <w:rsid w:val="00494130"/>
    <w:rsid w:val="004F3523"/>
    <w:rsid w:val="00596FA8"/>
    <w:rsid w:val="005973B9"/>
    <w:rsid w:val="005B3A56"/>
    <w:rsid w:val="006060CE"/>
    <w:rsid w:val="00611D9D"/>
    <w:rsid w:val="0063497F"/>
    <w:rsid w:val="006C2FC6"/>
    <w:rsid w:val="00873DF0"/>
    <w:rsid w:val="008756E6"/>
    <w:rsid w:val="008A08B6"/>
    <w:rsid w:val="00917493"/>
    <w:rsid w:val="009B2D44"/>
    <w:rsid w:val="00A07D51"/>
    <w:rsid w:val="00A07E82"/>
    <w:rsid w:val="00A9040D"/>
    <w:rsid w:val="00A9710C"/>
    <w:rsid w:val="00AE3E37"/>
    <w:rsid w:val="00AF649F"/>
    <w:rsid w:val="00B035B9"/>
    <w:rsid w:val="00B21A57"/>
    <w:rsid w:val="00B507D9"/>
    <w:rsid w:val="00B90969"/>
    <w:rsid w:val="00BF6A6E"/>
    <w:rsid w:val="00C33602"/>
    <w:rsid w:val="00CD6F55"/>
    <w:rsid w:val="00DE3104"/>
    <w:rsid w:val="00E26B10"/>
    <w:rsid w:val="00E40E7E"/>
    <w:rsid w:val="00F67477"/>
    <w:rsid w:val="00F72EEA"/>
    <w:rsid w:val="00F84CAE"/>
    <w:rsid w:val="00FC088A"/>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FB139"/>
  <w15:docId w15:val="{DCCC6A26-E7EE-4531-BA53-6116E857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370</TotalTime>
  <Pages>1</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Mahmood</cp:lastModifiedBy>
  <cp:revision>14</cp:revision>
  <dcterms:created xsi:type="dcterms:W3CDTF">2016-12-06T11:19:00Z</dcterms:created>
  <dcterms:modified xsi:type="dcterms:W3CDTF">2019-09-05T13:41:00Z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