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2C3" w:rsidRDefault="000A62C3" w:rsidP="000A62C3">
      <w:pPr>
        <w:rPr>
          <w:rFonts w:cstheme="minorHAnsi"/>
          <w:color w:val="4F81BD" w:themeColor="accent1"/>
          <w:kern w:val="24"/>
          <w:sz w:val="36"/>
          <w:szCs w:val="36"/>
        </w:rPr>
      </w:pPr>
      <w:r w:rsidRPr="000A62C3">
        <w:rPr>
          <w:rFonts w:cstheme="minorHAnsi"/>
          <w:color w:val="4F81BD" w:themeColor="accent1"/>
          <w:sz w:val="36"/>
          <w:szCs w:val="36"/>
        </w:rPr>
        <w:t xml:space="preserve">Extending the reaction toolbox for C-C bond formation and cleavage : biocatalytic applications of </w:t>
      </w:r>
      <w:r w:rsidR="00A6790C">
        <w:rPr>
          <w:rFonts w:cstheme="minorHAnsi"/>
          <w:color w:val="4F81BD" w:themeColor="accent1"/>
          <w:kern w:val="24"/>
          <w:sz w:val="36"/>
          <w:szCs w:val="36"/>
        </w:rPr>
        <w:t>Transketolase</w:t>
      </w:r>
      <w:r w:rsidRPr="000A62C3">
        <w:rPr>
          <w:rFonts w:cstheme="minorHAnsi"/>
          <w:color w:val="4F81BD" w:themeColor="accent1"/>
          <w:kern w:val="24"/>
          <w:sz w:val="36"/>
          <w:szCs w:val="36"/>
        </w:rPr>
        <w:t xml:space="preserve"> </w:t>
      </w:r>
    </w:p>
    <w:p w:rsidR="00A6790C" w:rsidRPr="000A62C3" w:rsidRDefault="00A6790C" w:rsidP="000A62C3">
      <w:pPr>
        <w:rPr>
          <w:rFonts w:cstheme="minorHAnsi"/>
          <w:color w:val="4F81BD" w:themeColor="accent1"/>
          <w:kern w:val="24"/>
          <w:sz w:val="36"/>
          <w:szCs w:val="36"/>
        </w:rPr>
      </w:pPr>
    </w:p>
    <w:p w:rsidR="005973B9" w:rsidRDefault="00A6790C" w:rsidP="005973B9">
      <w:pPr>
        <w:pStyle w:val="Corpsdetexte"/>
        <w:spacing w:before="73" w:line="198" w:lineRule="exact"/>
        <w:ind w:left="100" w:right="5987"/>
        <w:rPr>
          <w:rFonts w:ascii="Arial"/>
        </w:rPr>
      </w:pPr>
      <w:r>
        <w:rPr>
          <w:rFonts w:ascii="Arial"/>
        </w:rPr>
        <w:t>Laurence Hecquet, Prof., PhD, University of Clermont Auvergne, Institute of Chemistry of Clermont-Ferrand, France.</w:t>
      </w:r>
    </w:p>
    <w:p w:rsidR="00AE3E37" w:rsidRDefault="00AE3E37">
      <w:pPr>
        <w:pStyle w:val="Corpsdetexte"/>
        <w:rPr>
          <w:rFonts w:ascii="Arial"/>
          <w:sz w:val="20"/>
        </w:rPr>
      </w:pPr>
    </w:p>
    <w:p w:rsidR="00AE3E37" w:rsidRDefault="00AE3E37">
      <w:pPr>
        <w:pStyle w:val="Corpsdetexte"/>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Titre3"/>
        <w:spacing w:before="147"/>
        <w:jc w:val="both"/>
      </w:pPr>
      <w:r>
        <w:rPr>
          <w:color w:val="BF5A14"/>
        </w:rPr>
        <w:lastRenderedPageBreak/>
        <w:t>Abstract</w:t>
      </w:r>
      <w:r w:rsidR="00404E5B">
        <w:rPr>
          <w:color w:val="BF5A14"/>
        </w:rPr>
        <w:t xml:space="preserve"> (300 word limit)</w:t>
      </w:r>
    </w:p>
    <w:p w:rsidR="002A1FAD" w:rsidRDefault="002A1FAD" w:rsidP="002A1FAD">
      <w:pPr>
        <w:pStyle w:val="Titre3"/>
        <w:spacing w:before="74"/>
        <w:jc w:val="both"/>
        <w:rPr>
          <w:rFonts w:asciiTheme="minorHAnsi" w:hAnsiTheme="minorHAnsi" w:cstheme="minorHAnsi"/>
          <w:b w:val="0"/>
          <w:sz w:val="18"/>
          <w:szCs w:val="18"/>
          <w:vertAlign w:val="superscript"/>
        </w:rPr>
      </w:pPr>
      <w:r w:rsidRPr="00DA73CA">
        <w:rPr>
          <w:rFonts w:asciiTheme="minorHAnsi" w:hAnsiTheme="minorHAnsi" w:cstheme="minorHAnsi"/>
          <w:b w:val="0"/>
          <w:sz w:val="18"/>
          <w:szCs w:val="18"/>
          <w:lang w:val="de-DE"/>
        </w:rPr>
        <w:t xml:space="preserve">Transketolase (TK), a thiamine diphosphate dependent enzyme, </w:t>
      </w:r>
      <w:r w:rsidRPr="00DA73CA">
        <w:rPr>
          <w:rFonts w:asciiTheme="minorHAnsi" w:hAnsiTheme="minorHAnsi" w:cstheme="minorHAnsi"/>
          <w:b w:val="0"/>
          <w:sz w:val="18"/>
          <w:szCs w:val="18"/>
        </w:rPr>
        <w:t>transfers a two carbon ketol unit from a donor to an aldehyde acceptor.</w:t>
      </w:r>
      <w:r w:rsidRPr="00DA73CA">
        <w:rPr>
          <w:rFonts w:asciiTheme="minorHAnsi" w:hAnsiTheme="minorHAnsi" w:cstheme="minorHAnsi"/>
          <w:b w:val="0"/>
          <w:sz w:val="18"/>
          <w:szCs w:val="18"/>
          <w:lang w:val="en-GB"/>
        </w:rPr>
        <w:t xml:space="preserve"> </w:t>
      </w:r>
      <w:r w:rsidRPr="00DA73CA">
        <w:rPr>
          <w:rFonts w:asciiTheme="minorHAnsi" w:hAnsiTheme="minorHAnsi" w:cstheme="minorHAnsi"/>
          <w:b w:val="0"/>
          <w:sz w:val="18"/>
          <w:szCs w:val="18"/>
        </w:rPr>
        <w:t xml:space="preserve">While </w:t>
      </w:r>
      <w:r w:rsidRPr="00DA73CA">
        <w:rPr>
          <w:rFonts w:asciiTheme="minorHAnsi" w:hAnsiTheme="minorHAnsi" w:cstheme="minorHAnsi"/>
          <w:b w:val="0"/>
          <w:i/>
          <w:sz w:val="18"/>
          <w:szCs w:val="18"/>
        </w:rPr>
        <w:t>in vivo</w:t>
      </w:r>
      <w:r w:rsidRPr="00DA73CA">
        <w:rPr>
          <w:rFonts w:asciiTheme="minorHAnsi" w:hAnsiTheme="minorHAnsi" w:cstheme="minorHAnsi"/>
          <w:b w:val="0"/>
          <w:sz w:val="18"/>
          <w:szCs w:val="18"/>
        </w:rPr>
        <w:t xml:space="preserve"> </w:t>
      </w:r>
      <w:r w:rsidR="00C2353A">
        <w:rPr>
          <w:rFonts w:asciiTheme="minorHAnsi" w:hAnsiTheme="minorHAnsi" w:cstheme="minorHAnsi"/>
          <w:b w:val="0"/>
          <w:sz w:val="18"/>
          <w:szCs w:val="18"/>
        </w:rPr>
        <w:t xml:space="preserve">in the pentose phosphate pathway, </w:t>
      </w:r>
      <w:bookmarkStart w:id="0" w:name="_GoBack"/>
      <w:bookmarkEnd w:id="0"/>
      <w:r w:rsidRPr="00DA73CA">
        <w:rPr>
          <w:rFonts w:asciiTheme="minorHAnsi" w:hAnsiTheme="minorHAnsi" w:cstheme="minorHAnsi"/>
          <w:b w:val="0"/>
          <w:sz w:val="18"/>
          <w:szCs w:val="18"/>
        </w:rPr>
        <w:t xml:space="preserve">this enzyme interconverts phosphorylated ketoses and aldoses in reversible reactions, numerous </w:t>
      </w:r>
      <w:r w:rsidRPr="00DA73CA">
        <w:rPr>
          <w:rFonts w:asciiTheme="minorHAnsi" w:hAnsiTheme="minorHAnsi" w:cstheme="minorHAnsi"/>
          <w:b w:val="0"/>
          <w:i/>
          <w:sz w:val="18"/>
          <w:szCs w:val="18"/>
        </w:rPr>
        <w:t xml:space="preserve">in vitro </w:t>
      </w:r>
      <w:r w:rsidRPr="00DA73CA">
        <w:rPr>
          <w:rFonts w:asciiTheme="minorHAnsi" w:hAnsiTheme="minorHAnsi" w:cstheme="minorHAnsi"/>
          <w:b w:val="0"/>
          <w:sz w:val="18"/>
          <w:szCs w:val="18"/>
        </w:rPr>
        <w:t>biocatalytic applications showed that this enzyme catalyzes the synthesis of various chiral hydroxyketones in irreversible reactions. Recently, we characterized the first thermostable TK from a thermophilic microorganism, G</w:t>
      </w:r>
      <w:r w:rsidRPr="00DA73CA">
        <w:rPr>
          <w:rFonts w:asciiTheme="minorHAnsi" w:hAnsiTheme="minorHAnsi" w:cstheme="minorHAnsi"/>
          <w:b w:val="0"/>
          <w:i/>
          <w:sz w:val="18"/>
          <w:szCs w:val="18"/>
        </w:rPr>
        <w:t>eobacillus stearothermophilus,</w:t>
      </w:r>
      <w:r w:rsidRPr="00DA73CA">
        <w:rPr>
          <w:rFonts w:asciiTheme="minorHAnsi" w:hAnsiTheme="minorHAnsi" w:cstheme="minorHAnsi"/>
          <w:b w:val="0"/>
          <w:sz w:val="18"/>
          <w:szCs w:val="18"/>
        </w:rPr>
        <w:t xml:space="preserve"> offering robustness and broad synthetic potential.</w:t>
      </w:r>
      <w:r w:rsidRPr="00DA73CA">
        <w:rPr>
          <w:rFonts w:asciiTheme="minorHAnsi" w:hAnsiTheme="minorHAnsi" w:cstheme="minorHAnsi"/>
          <w:b w:val="0"/>
          <w:sz w:val="18"/>
          <w:szCs w:val="18"/>
          <w:vertAlign w:val="superscript"/>
        </w:rPr>
        <w:t>1</w:t>
      </w:r>
      <w:r w:rsidRPr="00DA73CA">
        <w:rPr>
          <w:rFonts w:asciiTheme="minorHAnsi" w:hAnsiTheme="minorHAnsi" w:cstheme="minorHAnsi"/>
          <w:b w:val="0"/>
          <w:sz w:val="18"/>
          <w:szCs w:val="18"/>
        </w:rPr>
        <w:t xml:space="preserve"> Different ways are currently develop to improve the TK reaction process (immobilization, cascade reaction) and to broaden the TK </w:t>
      </w:r>
      <w:r w:rsidR="00DA73CA">
        <w:rPr>
          <w:rFonts w:asciiTheme="minorHAnsi" w:hAnsiTheme="minorHAnsi" w:cstheme="minorHAnsi"/>
          <w:b w:val="0"/>
          <w:sz w:val="18"/>
          <w:szCs w:val="18"/>
        </w:rPr>
        <w:t xml:space="preserve">substrate and </w:t>
      </w:r>
      <w:r w:rsidRPr="00DA73CA">
        <w:rPr>
          <w:rFonts w:asciiTheme="minorHAnsi" w:hAnsiTheme="minorHAnsi" w:cstheme="minorHAnsi"/>
          <w:b w:val="0"/>
          <w:sz w:val="18"/>
          <w:szCs w:val="18"/>
        </w:rPr>
        <w:t xml:space="preserve">product scope (engineering by </w:t>
      </w:r>
      <w:r w:rsidR="00DA73CA" w:rsidRPr="00DA73CA">
        <w:rPr>
          <w:rFonts w:asciiTheme="minorHAnsi" w:hAnsiTheme="minorHAnsi" w:cstheme="minorHAnsi"/>
          <w:b w:val="0"/>
          <w:sz w:val="18"/>
          <w:szCs w:val="18"/>
        </w:rPr>
        <w:t>directed</w:t>
      </w:r>
      <w:r w:rsidR="00DA73CA">
        <w:rPr>
          <w:rFonts w:asciiTheme="minorHAnsi" w:hAnsiTheme="minorHAnsi" w:cstheme="minorHAnsi"/>
          <w:b w:val="0"/>
          <w:i/>
          <w:sz w:val="18"/>
          <w:szCs w:val="18"/>
        </w:rPr>
        <w:t xml:space="preserve"> </w:t>
      </w:r>
      <w:r w:rsidRPr="00DA73CA">
        <w:rPr>
          <w:rFonts w:asciiTheme="minorHAnsi" w:hAnsiTheme="minorHAnsi" w:cstheme="minorHAnsi"/>
          <w:b w:val="0"/>
          <w:sz w:val="18"/>
          <w:szCs w:val="18"/>
        </w:rPr>
        <w:t xml:space="preserve">evolution). The applications of wild-type and variant TKs for the synthesis of various chiral hydroxyketones, an </w:t>
      </w:r>
      <w:r w:rsidRPr="00DA73CA">
        <w:rPr>
          <w:rFonts w:asciiTheme="minorHAnsi" w:hAnsiTheme="minorHAnsi" w:cstheme="minorHAnsi"/>
          <w:b w:val="0"/>
          <w:color w:val="000000"/>
          <w:sz w:val="18"/>
          <w:szCs w:val="18"/>
        </w:rPr>
        <w:t xml:space="preserve">important class of compounds </w:t>
      </w:r>
      <w:r w:rsidRPr="00DA73CA">
        <w:rPr>
          <w:rFonts w:asciiTheme="minorHAnsi" w:hAnsiTheme="minorHAnsi" w:cstheme="minorHAnsi"/>
          <w:b w:val="0"/>
          <w:sz w:val="18"/>
          <w:szCs w:val="18"/>
        </w:rPr>
        <w:t>in different fields (food, pharmaceuticals, fine chemicals) will be presented.</w:t>
      </w:r>
      <w:r w:rsidRPr="00DA73CA">
        <w:rPr>
          <w:rFonts w:asciiTheme="minorHAnsi" w:hAnsiTheme="minorHAnsi" w:cstheme="minorHAnsi"/>
          <w:b w:val="0"/>
          <w:sz w:val="18"/>
          <w:szCs w:val="18"/>
          <w:vertAlign w:val="superscript"/>
        </w:rPr>
        <w:t>1-7</w:t>
      </w:r>
    </w:p>
    <w:p w:rsidR="00827E40" w:rsidRPr="00DA73CA" w:rsidRDefault="00827E40" w:rsidP="002A1FAD">
      <w:pPr>
        <w:pStyle w:val="Titre3"/>
        <w:spacing w:before="74"/>
        <w:jc w:val="both"/>
        <w:rPr>
          <w:rFonts w:asciiTheme="minorHAnsi" w:hAnsiTheme="minorHAnsi" w:cstheme="minorHAnsi"/>
          <w:b w:val="0"/>
          <w:sz w:val="18"/>
          <w:szCs w:val="18"/>
          <w:vertAlign w:val="superscript"/>
        </w:rPr>
      </w:pPr>
    </w:p>
    <w:p w:rsidR="002A1FAD" w:rsidRDefault="00DA73CA" w:rsidP="002A1FAD">
      <w:pPr>
        <w:pStyle w:val="Titre3"/>
        <w:spacing w:before="74"/>
        <w:jc w:val="both"/>
        <w:rPr>
          <w:rFonts w:ascii="Tw Cen MT" w:hAnsi="Tw Cen MT" w:cstheme="minorHAnsi"/>
          <w:b w:val="0"/>
          <w:sz w:val="18"/>
          <w:szCs w:val="18"/>
          <w:vertAlign w:val="superscript"/>
        </w:rPr>
      </w:pPr>
      <w:r>
        <w:rPr>
          <w:color w:val="BF5A14"/>
        </w:rPr>
        <w:t>Image</w:t>
      </w:r>
    </w:p>
    <w:p w:rsidR="00DA73CA" w:rsidRDefault="002A1FAD" w:rsidP="002A1FAD">
      <w:pPr>
        <w:pStyle w:val="Titre3"/>
        <w:spacing w:before="74"/>
        <w:jc w:val="center"/>
        <w:rPr>
          <w:b w:val="0"/>
        </w:rPr>
      </w:pPr>
      <w:r w:rsidRPr="002A1FAD">
        <w:rPr>
          <w:noProof/>
          <w:lang w:val="fr-FR" w:eastAsia="fr-FR"/>
        </w:rPr>
        <w:drawing>
          <wp:inline distT="0" distB="0" distL="0" distR="0">
            <wp:extent cx="2886075" cy="2088013"/>
            <wp:effectExtent l="0" t="0" r="0" b="762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96000" cy="2095193"/>
                    </a:xfrm>
                    <a:prstGeom prst="rect">
                      <a:avLst/>
                    </a:prstGeom>
                    <a:noFill/>
                    <a:ln>
                      <a:noFill/>
                    </a:ln>
                  </pic:spPr>
                </pic:pic>
              </a:graphicData>
            </a:graphic>
          </wp:inline>
        </w:drawing>
      </w:r>
    </w:p>
    <w:p w:rsidR="00DA73CA" w:rsidRDefault="005973B9" w:rsidP="005973B9">
      <w:pPr>
        <w:spacing w:line="204" w:lineRule="exact"/>
        <w:rPr>
          <w:rFonts w:ascii="Arial"/>
          <w:b/>
          <w:color w:val="BF5A14"/>
          <w:sz w:val="20"/>
        </w:rPr>
      </w:pPr>
      <w:r>
        <w:rPr>
          <w:rFonts w:ascii="Arial"/>
          <w:b/>
          <w:color w:val="BF5A14"/>
          <w:sz w:val="20"/>
        </w:rPr>
        <w:br/>
      </w:r>
      <w:r>
        <w:rPr>
          <w:rFonts w:ascii="Arial"/>
          <w:b/>
          <w:color w:val="BF5A14"/>
          <w:sz w:val="20"/>
        </w:rPr>
        <w:lastRenderedPageBreak/>
        <w:t>Recent Publications (minimum 5)</w:t>
      </w:r>
    </w:p>
    <w:p w:rsidR="00827E40" w:rsidRPr="00A6790C" w:rsidRDefault="00827E40" w:rsidP="005973B9">
      <w:pPr>
        <w:spacing w:line="204" w:lineRule="exact"/>
        <w:rPr>
          <w:rFonts w:ascii="Arial"/>
          <w:b/>
          <w:color w:val="BF5A14"/>
          <w:sz w:val="20"/>
        </w:rPr>
      </w:pPr>
    </w:p>
    <w:p w:rsidR="00DA73CA" w:rsidRPr="000A62C3" w:rsidRDefault="00DA73CA" w:rsidP="00A6790C">
      <w:pPr>
        <w:ind w:left="284" w:hanging="284"/>
        <w:jc w:val="both"/>
        <w:textAlignment w:val="baseline"/>
        <w:rPr>
          <w:rFonts w:asciiTheme="minorHAnsi" w:hAnsiTheme="minorHAnsi" w:cstheme="minorHAnsi"/>
          <w:sz w:val="18"/>
          <w:szCs w:val="18"/>
          <w:lang w:val="de-DE"/>
        </w:rPr>
      </w:pPr>
      <w:r w:rsidRPr="00F61636">
        <w:rPr>
          <w:sz w:val="18"/>
          <w:szCs w:val="18"/>
        </w:rPr>
        <w:t xml:space="preserve">J. </w:t>
      </w:r>
      <w:r w:rsidRPr="000A62C3">
        <w:rPr>
          <w:rFonts w:asciiTheme="minorHAnsi" w:hAnsiTheme="minorHAnsi" w:cstheme="minorHAnsi"/>
          <w:sz w:val="18"/>
          <w:szCs w:val="18"/>
        </w:rPr>
        <w:tab/>
        <w:t>Abdoul-Zabar, I. Sorel, V. Hélaine, F. Charmantray, T. Devamani, D. Yi, V. de Berardinis, D. Louis, P. Marlière, W.-D. Fessner, L. Hecquet.</w:t>
      </w:r>
      <w:r w:rsidRPr="000A62C3">
        <w:rPr>
          <w:rFonts w:asciiTheme="minorHAnsi" w:hAnsiTheme="minorHAnsi" w:cstheme="minorHAnsi"/>
          <w:smallCaps/>
          <w:kern w:val="24"/>
          <w:sz w:val="18"/>
          <w:szCs w:val="18"/>
        </w:rPr>
        <w:t xml:space="preserve"> </w:t>
      </w:r>
      <w:r w:rsidRPr="000A62C3">
        <w:rPr>
          <w:rFonts w:asciiTheme="minorHAnsi" w:hAnsiTheme="minorHAnsi" w:cstheme="minorHAnsi"/>
          <w:kern w:val="24"/>
          <w:sz w:val="18"/>
          <w:szCs w:val="18"/>
          <w:lang w:val="en-GB"/>
        </w:rPr>
        <w:t xml:space="preserve">Thermostable Transketolase from </w:t>
      </w:r>
      <w:r w:rsidRPr="000A62C3">
        <w:rPr>
          <w:rFonts w:asciiTheme="minorHAnsi" w:hAnsiTheme="minorHAnsi" w:cstheme="minorHAnsi"/>
          <w:i/>
          <w:kern w:val="24"/>
          <w:sz w:val="18"/>
          <w:szCs w:val="18"/>
          <w:lang w:val="en-GB"/>
        </w:rPr>
        <w:t xml:space="preserve">Geobacillus stearothermophilus: </w:t>
      </w:r>
      <w:r w:rsidRPr="000A62C3">
        <w:rPr>
          <w:rFonts w:asciiTheme="minorHAnsi" w:hAnsiTheme="minorHAnsi" w:cstheme="minorHAnsi"/>
          <w:kern w:val="24"/>
          <w:sz w:val="18"/>
          <w:szCs w:val="18"/>
          <w:lang w:val="en-GB"/>
        </w:rPr>
        <w:t>Characterization and Catalytic Properties</w:t>
      </w:r>
      <w:r w:rsidRPr="000A62C3">
        <w:rPr>
          <w:rFonts w:asciiTheme="minorHAnsi" w:hAnsiTheme="minorHAnsi" w:cstheme="minorHAnsi"/>
          <w:i/>
          <w:sz w:val="18"/>
          <w:szCs w:val="18"/>
          <w:lang w:val="en-GB"/>
        </w:rPr>
        <w:t xml:space="preserve">. </w:t>
      </w:r>
      <w:r w:rsidRPr="000A62C3">
        <w:rPr>
          <w:rFonts w:asciiTheme="minorHAnsi" w:hAnsiTheme="minorHAnsi" w:cstheme="minorHAnsi"/>
          <w:i/>
          <w:sz w:val="18"/>
          <w:szCs w:val="18"/>
        </w:rPr>
        <w:t>Adv. Synth. Catal</w:t>
      </w:r>
      <w:r w:rsidRPr="000A62C3">
        <w:rPr>
          <w:rFonts w:asciiTheme="minorHAnsi" w:hAnsiTheme="minorHAnsi" w:cstheme="minorHAnsi"/>
          <w:sz w:val="18"/>
          <w:szCs w:val="18"/>
        </w:rPr>
        <w:t xml:space="preserve">. </w:t>
      </w:r>
      <w:r w:rsidRPr="000A62C3">
        <w:rPr>
          <w:rFonts w:asciiTheme="minorHAnsi" w:hAnsiTheme="minorHAnsi" w:cstheme="minorHAnsi"/>
          <w:bCs/>
          <w:sz w:val="18"/>
          <w:szCs w:val="18"/>
          <w:lang w:val="de-DE"/>
        </w:rPr>
        <w:t>2013</w:t>
      </w:r>
      <w:r w:rsidRPr="000A62C3">
        <w:rPr>
          <w:rFonts w:asciiTheme="minorHAnsi" w:hAnsiTheme="minorHAnsi" w:cstheme="minorHAnsi"/>
          <w:sz w:val="18"/>
          <w:szCs w:val="18"/>
          <w:lang w:val="de-DE"/>
        </w:rPr>
        <w:t xml:space="preserve">, </w:t>
      </w:r>
      <w:r w:rsidRPr="000A62C3">
        <w:rPr>
          <w:rFonts w:asciiTheme="minorHAnsi" w:hAnsiTheme="minorHAnsi" w:cstheme="minorHAnsi"/>
          <w:i/>
          <w:iCs/>
          <w:sz w:val="18"/>
          <w:szCs w:val="18"/>
          <w:lang w:val="de-DE"/>
        </w:rPr>
        <w:t>355</w:t>
      </w:r>
      <w:r w:rsidRPr="000A62C3">
        <w:rPr>
          <w:rFonts w:asciiTheme="minorHAnsi" w:hAnsiTheme="minorHAnsi" w:cstheme="minorHAnsi"/>
          <w:sz w:val="18"/>
          <w:szCs w:val="18"/>
          <w:lang w:val="de-DE"/>
        </w:rPr>
        <w:t xml:space="preserve">, 116-128. </w:t>
      </w:r>
    </w:p>
    <w:p w:rsidR="00DA73CA" w:rsidRPr="000A62C3" w:rsidRDefault="00DA73CA" w:rsidP="00A6790C">
      <w:pPr>
        <w:ind w:left="284" w:hanging="284"/>
        <w:jc w:val="both"/>
        <w:rPr>
          <w:rFonts w:asciiTheme="minorHAnsi" w:hAnsiTheme="minorHAnsi" w:cstheme="minorHAnsi"/>
          <w:sz w:val="18"/>
          <w:szCs w:val="18"/>
          <w:lang w:eastAsia="ar-SA"/>
        </w:rPr>
      </w:pPr>
      <w:r w:rsidRPr="000A62C3">
        <w:rPr>
          <w:rFonts w:asciiTheme="minorHAnsi" w:hAnsiTheme="minorHAnsi" w:cstheme="minorHAnsi"/>
          <w:spacing w:val="4"/>
          <w:sz w:val="18"/>
          <w:szCs w:val="18"/>
        </w:rPr>
        <w:t>2.</w:t>
      </w:r>
      <w:r w:rsidRPr="000A62C3">
        <w:rPr>
          <w:rFonts w:asciiTheme="minorHAnsi" w:hAnsiTheme="minorHAnsi" w:cstheme="minorHAnsi"/>
          <w:sz w:val="18"/>
          <w:szCs w:val="18"/>
        </w:rPr>
        <w:t xml:space="preserve"> </w:t>
      </w:r>
      <w:r w:rsidRPr="000A62C3">
        <w:rPr>
          <w:rFonts w:asciiTheme="minorHAnsi" w:hAnsiTheme="minorHAnsi" w:cstheme="minorHAnsi"/>
          <w:sz w:val="18"/>
          <w:szCs w:val="18"/>
        </w:rPr>
        <w:tab/>
        <w:t>M. Lorillière,</w:t>
      </w:r>
      <w:r w:rsidRPr="000A62C3">
        <w:rPr>
          <w:rFonts w:asciiTheme="minorHAnsi" w:hAnsiTheme="minorHAnsi" w:cstheme="minorHAnsi"/>
          <w:sz w:val="18"/>
          <w:szCs w:val="18"/>
          <w:vertAlign w:val="superscript"/>
        </w:rPr>
        <w:t xml:space="preserve"> </w:t>
      </w:r>
      <w:r w:rsidRPr="000A62C3">
        <w:rPr>
          <w:rFonts w:asciiTheme="minorHAnsi" w:hAnsiTheme="minorHAnsi" w:cstheme="minorHAnsi"/>
          <w:sz w:val="18"/>
          <w:szCs w:val="18"/>
        </w:rPr>
        <w:t>M. De Sousa,</w:t>
      </w:r>
      <w:r w:rsidRPr="000A62C3">
        <w:rPr>
          <w:rFonts w:asciiTheme="minorHAnsi" w:hAnsiTheme="minorHAnsi" w:cstheme="minorHAnsi"/>
          <w:sz w:val="18"/>
          <w:szCs w:val="18"/>
          <w:vertAlign w:val="superscript"/>
        </w:rPr>
        <w:t xml:space="preserve"> </w:t>
      </w:r>
      <w:r w:rsidRPr="000A62C3">
        <w:rPr>
          <w:rFonts w:asciiTheme="minorHAnsi" w:hAnsiTheme="minorHAnsi" w:cstheme="minorHAnsi"/>
          <w:sz w:val="18"/>
          <w:szCs w:val="18"/>
        </w:rPr>
        <w:t>F. Bruna,</w:t>
      </w:r>
      <w:r w:rsidRPr="000A62C3">
        <w:rPr>
          <w:rFonts w:asciiTheme="minorHAnsi" w:eastAsia="MS PGothic" w:hAnsiTheme="minorHAnsi" w:cstheme="minorHAnsi"/>
          <w:bCs/>
          <w:kern w:val="24"/>
          <w:sz w:val="18"/>
          <w:szCs w:val="18"/>
          <w:vertAlign w:val="superscript"/>
        </w:rPr>
        <w:t xml:space="preserve"> </w:t>
      </w:r>
      <w:r w:rsidRPr="000A62C3">
        <w:rPr>
          <w:rFonts w:asciiTheme="minorHAnsi" w:hAnsiTheme="minorHAnsi" w:cstheme="minorHAnsi"/>
          <w:sz w:val="18"/>
          <w:szCs w:val="18"/>
        </w:rPr>
        <w:t>E. Heuson, T. Gefflaut, V. de Berardinis,</w:t>
      </w:r>
      <w:r w:rsidRPr="000A62C3">
        <w:rPr>
          <w:rFonts w:asciiTheme="minorHAnsi" w:hAnsiTheme="minorHAnsi" w:cstheme="minorHAnsi"/>
          <w:sz w:val="18"/>
          <w:szCs w:val="18"/>
          <w:vertAlign w:val="superscript"/>
        </w:rPr>
        <w:t xml:space="preserve"> </w:t>
      </w:r>
      <w:r w:rsidRPr="000A62C3">
        <w:rPr>
          <w:rFonts w:asciiTheme="minorHAnsi" w:hAnsiTheme="minorHAnsi" w:cstheme="minorHAnsi"/>
          <w:sz w:val="18"/>
          <w:szCs w:val="18"/>
        </w:rPr>
        <w:t>T. Saravanan,</w:t>
      </w:r>
      <w:r w:rsidRPr="000A62C3">
        <w:rPr>
          <w:rFonts w:asciiTheme="minorHAnsi" w:hAnsiTheme="minorHAnsi" w:cstheme="minorHAnsi"/>
          <w:sz w:val="18"/>
          <w:szCs w:val="18"/>
          <w:vertAlign w:val="superscript"/>
        </w:rPr>
        <w:t xml:space="preserve"> </w:t>
      </w:r>
      <w:r w:rsidRPr="000A62C3">
        <w:rPr>
          <w:rFonts w:asciiTheme="minorHAnsi" w:hAnsiTheme="minorHAnsi" w:cstheme="minorHAnsi"/>
          <w:sz w:val="18"/>
          <w:szCs w:val="18"/>
        </w:rPr>
        <w:t>D. Yi, W.-D. Fessner, F. Charmantray, L. Hecquet. One-pot, two-step cascade synthesis</w:t>
      </w:r>
      <w:r w:rsidRPr="000A62C3" w:rsidDel="00E51963">
        <w:rPr>
          <w:rFonts w:asciiTheme="minorHAnsi" w:hAnsiTheme="minorHAnsi" w:cstheme="minorHAnsi"/>
          <w:sz w:val="18"/>
          <w:szCs w:val="18"/>
        </w:rPr>
        <w:t xml:space="preserve"> </w:t>
      </w:r>
      <w:r w:rsidRPr="000A62C3">
        <w:rPr>
          <w:rFonts w:asciiTheme="minorHAnsi" w:hAnsiTheme="minorHAnsi" w:cstheme="minorHAnsi"/>
          <w:sz w:val="18"/>
          <w:szCs w:val="18"/>
        </w:rPr>
        <w:t xml:space="preserve">of naturally rare </w:t>
      </w:r>
      <w:r w:rsidRPr="000A62C3">
        <w:rPr>
          <w:rFonts w:asciiTheme="minorHAnsi" w:hAnsiTheme="minorHAnsi" w:cstheme="minorHAnsi"/>
          <w:sz w:val="18"/>
          <w:szCs w:val="18"/>
          <w:lang w:val="en"/>
        </w:rPr>
        <w:t xml:space="preserve">L-erythro (3S,4S) ketoses by coupling </w:t>
      </w:r>
      <w:r w:rsidRPr="000A62C3">
        <w:rPr>
          <w:rFonts w:asciiTheme="minorHAnsi" w:hAnsiTheme="minorHAnsi" w:cstheme="minorHAnsi"/>
          <w:sz w:val="18"/>
          <w:szCs w:val="18"/>
        </w:rPr>
        <w:t xml:space="preserve">thermostable transaminase and transketolase. </w:t>
      </w:r>
      <w:r w:rsidRPr="000A62C3">
        <w:rPr>
          <w:rFonts w:asciiTheme="minorHAnsi" w:hAnsiTheme="minorHAnsi" w:cstheme="minorHAnsi"/>
          <w:bCs/>
          <w:i/>
          <w:sz w:val="18"/>
          <w:szCs w:val="18"/>
        </w:rPr>
        <w:t>Green Chem</w:t>
      </w:r>
      <w:r w:rsidRPr="000A62C3">
        <w:rPr>
          <w:rFonts w:asciiTheme="minorHAnsi" w:hAnsiTheme="minorHAnsi" w:cstheme="minorHAnsi"/>
          <w:bCs/>
          <w:sz w:val="18"/>
          <w:szCs w:val="18"/>
        </w:rPr>
        <w:t xml:space="preserve">. </w:t>
      </w:r>
      <w:r w:rsidRPr="000A62C3">
        <w:rPr>
          <w:rFonts w:asciiTheme="minorHAnsi" w:hAnsiTheme="minorHAnsi" w:cstheme="minorHAnsi"/>
          <w:bCs/>
          <w:color w:val="000000"/>
          <w:kern w:val="24"/>
          <w:sz w:val="18"/>
          <w:szCs w:val="18"/>
        </w:rPr>
        <w:t>2017</w:t>
      </w:r>
      <w:r w:rsidRPr="000A62C3">
        <w:rPr>
          <w:rFonts w:asciiTheme="minorHAnsi" w:hAnsiTheme="minorHAnsi" w:cstheme="minorHAnsi"/>
          <w:color w:val="000000"/>
          <w:kern w:val="24"/>
          <w:sz w:val="18"/>
          <w:szCs w:val="18"/>
        </w:rPr>
        <w:t xml:space="preserve">, </w:t>
      </w:r>
      <w:r w:rsidRPr="000A62C3">
        <w:rPr>
          <w:rFonts w:asciiTheme="minorHAnsi" w:hAnsiTheme="minorHAnsi" w:cstheme="minorHAnsi"/>
          <w:i/>
          <w:sz w:val="18"/>
          <w:szCs w:val="18"/>
        </w:rPr>
        <w:t>19</w:t>
      </w:r>
      <w:r w:rsidRPr="000A62C3">
        <w:rPr>
          <w:rFonts w:asciiTheme="minorHAnsi" w:hAnsiTheme="minorHAnsi" w:cstheme="minorHAnsi"/>
          <w:sz w:val="18"/>
          <w:szCs w:val="18"/>
        </w:rPr>
        <w:t xml:space="preserve">, 425 – 435. </w:t>
      </w:r>
    </w:p>
    <w:p w:rsidR="00DA73CA" w:rsidRPr="000A62C3" w:rsidRDefault="00DA73CA" w:rsidP="00A6790C">
      <w:pPr>
        <w:ind w:left="284" w:hanging="284"/>
        <w:jc w:val="both"/>
        <w:rPr>
          <w:rFonts w:asciiTheme="minorHAnsi" w:hAnsiTheme="minorHAnsi" w:cstheme="minorHAnsi"/>
          <w:sz w:val="18"/>
          <w:szCs w:val="18"/>
        </w:rPr>
      </w:pPr>
      <w:r w:rsidRPr="000A62C3">
        <w:rPr>
          <w:rFonts w:asciiTheme="minorHAnsi" w:hAnsiTheme="minorHAnsi" w:cstheme="minorHAnsi"/>
          <w:sz w:val="18"/>
          <w:szCs w:val="18"/>
        </w:rPr>
        <w:t>3</w:t>
      </w:r>
      <w:r w:rsidRPr="000A62C3">
        <w:rPr>
          <w:rFonts w:asciiTheme="minorHAnsi" w:hAnsiTheme="minorHAnsi" w:cstheme="minorHAnsi"/>
          <w:i/>
          <w:sz w:val="18"/>
          <w:szCs w:val="18"/>
        </w:rPr>
        <w:t xml:space="preserve">. </w:t>
      </w:r>
      <w:r w:rsidRPr="000A62C3">
        <w:rPr>
          <w:rFonts w:asciiTheme="minorHAnsi" w:hAnsiTheme="minorHAnsi" w:cstheme="minorHAnsi"/>
          <w:i/>
          <w:sz w:val="18"/>
          <w:szCs w:val="18"/>
        </w:rPr>
        <w:tab/>
      </w:r>
      <w:r w:rsidRPr="000A62C3">
        <w:rPr>
          <w:rFonts w:asciiTheme="minorHAnsi" w:hAnsiTheme="minorHAnsi" w:cstheme="minorHAnsi"/>
          <w:sz w:val="18"/>
          <w:szCs w:val="18"/>
        </w:rPr>
        <w:t>T. Saravanan,</w:t>
      </w:r>
      <w:r w:rsidRPr="000A62C3">
        <w:rPr>
          <w:rFonts w:asciiTheme="minorHAnsi" w:hAnsiTheme="minorHAnsi" w:cstheme="minorHAnsi"/>
          <w:sz w:val="18"/>
          <w:szCs w:val="18"/>
          <w:vertAlign w:val="superscript"/>
        </w:rPr>
        <w:t xml:space="preserve"> </w:t>
      </w:r>
      <w:r w:rsidRPr="000A62C3">
        <w:rPr>
          <w:rFonts w:asciiTheme="minorHAnsi" w:hAnsiTheme="minorHAnsi" w:cstheme="minorHAnsi"/>
          <w:sz w:val="18"/>
          <w:szCs w:val="18"/>
        </w:rPr>
        <w:t>S. Junker,</w:t>
      </w:r>
      <w:r w:rsidRPr="000A62C3">
        <w:rPr>
          <w:rFonts w:asciiTheme="minorHAnsi" w:hAnsiTheme="minorHAnsi" w:cstheme="minorHAnsi"/>
          <w:sz w:val="18"/>
          <w:szCs w:val="18"/>
          <w:vertAlign w:val="superscript"/>
        </w:rPr>
        <w:t xml:space="preserve"> </w:t>
      </w:r>
      <w:r w:rsidRPr="000A62C3">
        <w:rPr>
          <w:rFonts w:asciiTheme="minorHAnsi" w:hAnsiTheme="minorHAnsi" w:cstheme="minorHAnsi"/>
          <w:sz w:val="18"/>
          <w:szCs w:val="18"/>
        </w:rPr>
        <w:t>M. Kickstein,</w:t>
      </w:r>
      <w:r w:rsidRPr="000A62C3">
        <w:rPr>
          <w:rFonts w:asciiTheme="minorHAnsi" w:hAnsiTheme="minorHAnsi" w:cstheme="minorHAnsi"/>
          <w:sz w:val="18"/>
          <w:szCs w:val="18"/>
          <w:vertAlign w:val="superscript"/>
        </w:rPr>
        <w:t xml:space="preserve"> </w:t>
      </w:r>
      <w:r w:rsidRPr="000A62C3">
        <w:rPr>
          <w:rFonts w:asciiTheme="minorHAnsi" w:hAnsiTheme="minorHAnsi" w:cstheme="minorHAnsi"/>
          <w:sz w:val="18"/>
          <w:szCs w:val="18"/>
        </w:rPr>
        <w:t>J. Hegen S. Hein,</w:t>
      </w:r>
      <w:r w:rsidRPr="000A62C3">
        <w:rPr>
          <w:rFonts w:asciiTheme="minorHAnsi" w:hAnsiTheme="minorHAnsi" w:cstheme="minorHAnsi"/>
          <w:sz w:val="18"/>
          <w:szCs w:val="18"/>
          <w:vertAlign w:val="superscript"/>
        </w:rPr>
        <w:t xml:space="preserve"> </w:t>
      </w:r>
      <w:r w:rsidRPr="000A62C3">
        <w:rPr>
          <w:rFonts w:asciiTheme="minorHAnsi" w:hAnsiTheme="minorHAnsi" w:cstheme="minorHAnsi"/>
          <w:sz w:val="18"/>
          <w:szCs w:val="18"/>
        </w:rPr>
        <w:t>M.-K; Link,</w:t>
      </w:r>
      <w:r w:rsidRPr="000A62C3">
        <w:rPr>
          <w:rFonts w:asciiTheme="minorHAnsi" w:hAnsiTheme="minorHAnsi" w:cstheme="minorHAnsi"/>
          <w:sz w:val="18"/>
          <w:szCs w:val="18"/>
          <w:vertAlign w:val="superscript"/>
        </w:rPr>
        <w:t xml:space="preserve"> </w:t>
      </w:r>
      <w:r w:rsidRPr="000A62C3">
        <w:rPr>
          <w:rFonts w:asciiTheme="minorHAnsi" w:hAnsiTheme="minorHAnsi" w:cstheme="minorHAnsi"/>
          <w:sz w:val="18"/>
          <w:szCs w:val="18"/>
        </w:rPr>
        <w:t>S; Witt, M. Lorillière,</w:t>
      </w:r>
      <w:r w:rsidRPr="000A62C3">
        <w:rPr>
          <w:rFonts w:asciiTheme="minorHAnsi" w:hAnsiTheme="minorHAnsi" w:cstheme="minorHAnsi"/>
          <w:sz w:val="18"/>
          <w:szCs w:val="18"/>
          <w:vertAlign w:val="superscript"/>
        </w:rPr>
        <w:t xml:space="preserve"> </w:t>
      </w:r>
      <w:r w:rsidRPr="000A62C3">
        <w:rPr>
          <w:rFonts w:asciiTheme="minorHAnsi" w:hAnsiTheme="minorHAnsi" w:cstheme="minorHAnsi"/>
          <w:sz w:val="18"/>
          <w:szCs w:val="18"/>
        </w:rPr>
        <w:t>L. Hecquet,</w:t>
      </w:r>
      <w:r w:rsidRPr="000A62C3">
        <w:rPr>
          <w:rFonts w:asciiTheme="minorHAnsi" w:hAnsiTheme="minorHAnsi" w:cstheme="minorHAnsi"/>
          <w:sz w:val="18"/>
          <w:szCs w:val="18"/>
          <w:vertAlign w:val="superscript"/>
        </w:rPr>
        <w:t xml:space="preserve"> </w:t>
      </w:r>
      <w:r w:rsidRPr="000A62C3">
        <w:rPr>
          <w:rFonts w:asciiTheme="minorHAnsi" w:hAnsiTheme="minorHAnsi" w:cstheme="minorHAnsi"/>
          <w:sz w:val="18"/>
          <w:szCs w:val="18"/>
        </w:rPr>
        <w:t>and W.-D. Fessner.</w:t>
      </w:r>
      <w:r w:rsidRPr="000A62C3">
        <w:rPr>
          <w:rFonts w:asciiTheme="minorHAnsi" w:hAnsiTheme="minorHAnsi" w:cstheme="minorHAnsi"/>
          <w:smallCaps/>
          <w:sz w:val="18"/>
          <w:szCs w:val="18"/>
        </w:rPr>
        <w:t xml:space="preserve"> </w:t>
      </w:r>
      <w:r w:rsidRPr="000A62C3">
        <w:rPr>
          <w:rFonts w:asciiTheme="minorHAnsi" w:hAnsiTheme="minorHAnsi" w:cstheme="minorHAnsi"/>
          <w:sz w:val="18"/>
          <w:szCs w:val="18"/>
        </w:rPr>
        <w:t>Donor promiscuity of a thermostable transketolase engineered by directed evolution - Efficient complementation of DXS activity</w:t>
      </w:r>
      <w:r w:rsidRPr="000A62C3">
        <w:rPr>
          <w:rFonts w:asciiTheme="minorHAnsi" w:hAnsiTheme="minorHAnsi" w:cstheme="minorHAnsi"/>
          <w:i/>
          <w:sz w:val="18"/>
          <w:szCs w:val="18"/>
        </w:rPr>
        <w:t xml:space="preserve"> Angew. Chem. Int. Ed.</w:t>
      </w:r>
      <w:r w:rsidRPr="000A62C3">
        <w:rPr>
          <w:rFonts w:asciiTheme="minorHAnsi" w:hAnsiTheme="minorHAnsi" w:cstheme="minorHAnsi"/>
          <w:sz w:val="18"/>
          <w:szCs w:val="18"/>
        </w:rPr>
        <w:t xml:space="preserve">, 2017, </w:t>
      </w:r>
      <w:r w:rsidRPr="000A62C3">
        <w:rPr>
          <w:rFonts w:asciiTheme="minorHAnsi" w:hAnsiTheme="minorHAnsi" w:cstheme="minorHAnsi"/>
          <w:i/>
          <w:sz w:val="18"/>
          <w:szCs w:val="18"/>
        </w:rPr>
        <w:t>56</w:t>
      </w:r>
      <w:r w:rsidRPr="000A62C3">
        <w:rPr>
          <w:rFonts w:asciiTheme="minorHAnsi" w:hAnsiTheme="minorHAnsi" w:cstheme="minorHAnsi"/>
          <w:sz w:val="18"/>
          <w:szCs w:val="18"/>
        </w:rPr>
        <w:t xml:space="preserve">, 5358–5362. </w:t>
      </w:r>
    </w:p>
    <w:p w:rsidR="00DA73CA" w:rsidRPr="000A62C3" w:rsidRDefault="00DA73CA" w:rsidP="00A6790C">
      <w:pPr>
        <w:ind w:left="284" w:hanging="284"/>
        <w:jc w:val="both"/>
        <w:rPr>
          <w:rFonts w:asciiTheme="minorHAnsi" w:hAnsiTheme="minorHAnsi" w:cstheme="minorHAnsi"/>
          <w:sz w:val="18"/>
          <w:szCs w:val="18"/>
        </w:rPr>
      </w:pPr>
      <w:r w:rsidRPr="000A62C3">
        <w:rPr>
          <w:rFonts w:asciiTheme="minorHAnsi" w:hAnsiTheme="minorHAnsi" w:cstheme="minorHAnsi"/>
          <w:sz w:val="18"/>
          <w:szCs w:val="18"/>
        </w:rPr>
        <w:t xml:space="preserve">4. </w:t>
      </w:r>
      <w:r w:rsidRPr="000A62C3">
        <w:rPr>
          <w:rFonts w:asciiTheme="minorHAnsi" w:hAnsiTheme="minorHAnsi" w:cstheme="minorHAnsi"/>
          <w:sz w:val="18"/>
          <w:szCs w:val="18"/>
        </w:rPr>
        <w:tab/>
        <w:t xml:space="preserve">M. Lolrillère, R. Dumoulin, M. L’enfant, A. Rambourdin, V. Thery, L. Nauton, W-D Fessner, F. Charmantray, L. Hecquet. </w:t>
      </w:r>
      <w:r w:rsidR="000A62C3" w:rsidRPr="000A62C3">
        <w:rPr>
          <w:rFonts w:asciiTheme="minorHAnsi" w:hAnsiTheme="minorHAnsi" w:cstheme="minorHAnsi"/>
          <w:sz w:val="18"/>
          <w:szCs w:val="18"/>
        </w:rPr>
        <w:t>Evolved Thermostable Transketolase for Stereoselective Two-Carbon Elongation of Non-Phosphorylated Aldoses to Naturally Rare Ketoses</w:t>
      </w:r>
      <w:r w:rsidR="000A62C3" w:rsidRPr="000A62C3">
        <w:rPr>
          <w:rFonts w:asciiTheme="minorHAnsi" w:hAnsiTheme="minorHAnsi" w:cstheme="minorHAnsi"/>
          <w:i/>
          <w:sz w:val="18"/>
          <w:szCs w:val="18"/>
        </w:rPr>
        <w:t xml:space="preserve">. </w:t>
      </w:r>
      <w:r w:rsidRPr="000A62C3">
        <w:rPr>
          <w:rFonts w:asciiTheme="minorHAnsi" w:hAnsiTheme="minorHAnsi" w:cstheme="minorHAnsi"/>
          <w:i/>
          <w:sz w:val="18"/>
          <w:szCs w:val="18"/>
        </w:rPr>
        <w:t>ACS Catal.,</w:t>
      </w:r>
      <w:r w:rsidRPr="000A62C3">
        <w:rPr>
          <w:rFonts w:asciiTheme="minorHAnsi" w:hAnsiTheme="minorHAnsi" w:cstheme="minorHAnsi"/>
          <w:sz w:val="18"/>
          <w:szCs w:val="18"/>
        </w:rPr>
        <w:t xml:space="preserve"> 2019, </w:t>
      </w:r>
      <w:r w:rsidRPr="000A62C3">
        <w:rPr>
          <w:rFonts w:asciiTheme="minorHAnsi" w:hAnsiTheme="minorHAnsi" w:cstheme="minorHAnsi"/>
          <w:i/>
          <w:sz w:val="18"/>
          <w:szCs w:val="18"/>
        </w:rPr>
        <w:t>9</w:t>
      </w:r>
      <w:r w:rsidRPr="000A62C3">
        <w:rPr>
          <w:rFonts w:asciiTheme="minorHAnsi" w:hAnsiTheme="minorHAnsi" w:cstheme="minorHAnsi"/>
          <w:sz w:val="18"/>
          <w:szCs w:val="18"/>
        </w:rPr>
        <w:t xml:space="preserve">, 4754-4763. </w:t>
      </w:r>
    </w:p>
    <w:p w:rsidR="00DA73CA" w:rsidRPr="000A62C3" w:rsidRDefault="00DA73CA" w:rsidP="00A6790C">
      <w:pPr>
        <w:ind w:left="284" w:hanging="284"/>
        <w:jc w:val="both"/>
        <w:rPr>
          <w:rFonts w:asciiTheme="minorHAnsi" w:hAnsiTheme="minorHAnsi" w:cstheme="minorHAnsi"/>
          <w:color w:val="767676"/>
          <w:sz w:val="18"/>
          <w:szCs w:val="18"/>
          <w:lang w:val="en"/>
        </w:rPr>
      </w:pPr>
      <w:r w:rsidRPr="000A62C3">
        <w:rPr>
          <w:rFonts w:asciiTheme="minorHAnsi" w:hAnsiTheme="minorHAnsi" w:cstheme="minorHAnsi"/>
          <w:sz w:val="18"/>
          <w:szCs w:val="18"/>
          <w:lang w:val="en-GB"/>
        </w:rPr>
        <w:t xml:space="preserve">5. </w:t>
      </w:r>
      <w:r w:rsidRPr="000A62C3">
        <w:rPr>
          <w:rFonts w:asciiTheme="minorHAnsi" w:hAnsiTheme="minorHAnsi" w:cstheme="minorHAnsi"/>
          <w:sz w:val="18"/>
          <w:szCs w:val="18"/>
          <w:lang w:val="en-GB"/>
        </w:rPr>
        <w:tab/>
      </w:r>
      <w:hyperlink r:id="rId10" w:history="1">
        <w:r w:rsidRPr="000A62C3">
          <w:rPr>
            <w:rFonts w:asciiTheme="minorHAnsi" w:hAnsiTheme="minorHAnsi" w:cstheme="minorHAnsi"/>
            <w:sz w:val="18"/>
            <w:szCs w:val="18"/>
          </w:rPr>
          <w:t>H. Casajus</w:t>
        </w:r>
      </w:hyperlink>
      <w:r w:rsidRPr="000A62C3">
        <w:rPr>
          <w:rFonts w:asciiTheme="minorHAnsi" w:hAnsiTheme="minorHAnsi" w:cstheme="minorHAnsi"/>
          <w:sz w:val="18"/>
          <w:szCs w:val="18"/>
        </w:rPr>
        <w:t xml:space="preserve">, A. Lagarde, </w:t>
      </w:r>
      <w:hyperlink r:id="rId11" w:history="1">
        <w:r w:rsidRPr="000A62C3">
          <w:rPr>
            <w:rFonts w:asciiTheme="minorHAnsi" w:hAnsiTheme="minorHAnsi" w:cstheme="minorHAnsi"/>
            <w:sz w:val="18"/>
            <w:szCs w:val="18"/>
          </w:rPr>
          <w:t>M. Leremboure</w:t>
        </w:r>
      </w:hyperlink>
      <w:r w:rsidRPr="000A62C3">
        <w:rPr>
          <w:rFonts w:asciiTheme="minorHAnsi" w:hAnsiTheme="minorHAnsi" w:cstheme="minorHAnsi"/>
          <w:sz w:val="18"/>
          <w:szCs w:val="18"/>
        </w:rPr>
        <w:t xml:space="preserve">, </w:t>
      </w:r>
      <w:hyperlink r:id="rId12" w:history="1">
        <w:r w:rsidRPr="000A62C3">
          <w:rPr>
            <w:rFonts w:asciiTheme="minorHAnsi" w:hAnsiTheme="minorHAnsi" w:cstheme="minorHAnsi"/>
            <w:sz w:val="18"/>
            <w:szCs w:val="18"/>
          </w:rPr>
          <w:t>T. De Dios Miguel</w:t>
        </w:r>
      </w:hyperlink>
      <w:r w:rsidRPr="000A62C3">
        <w:rPr>
          <w:rFonts w:asciiTheme="minorHAnsi" w:hAnsiTheme="minorHAnsi" w:cstheme="minorHAnsi"/>
          <w:sz w:val="18"/>
          <w:szCs w:val="18"/>
        </w:rPr>
        <w:t xml:space="preserve">, </w:t>
      </w:r>
      <w:hyperlink r:id="rId13" w:history="1">
        <w:r w:rsidRPr="000A62C3">
          <w:rPr>
            <w:rFonts w:asciiTheme="minorHAnsi" w:hAnsiTheme="minorHAnsi" w:cstheme="minorHAnsi"/>
            <w:sz w:val="18"/>
            <w:szCs w:val="18"/>
          </w:rPr>
          <w:t>L. Nauton</w:t>
        </w:r>
      </w:hyperlink>
      <w:r w:rsidRPr="000A62C3">
        <w:rPr>
          <w:rFonts w:asciiTheme="minorHAnsi" w:hAnsiTheme="minorHAnsi" w:cstheme="minorHAnsi"/>
          <w:sz w:val="18"/>
          <w:szCs w:val="18"/>
        </w:rPr>
        <w:t xml:space="preserve">, </w:t>
      </w:r>
      <w:hyperlink r:id="rId14" w:history="1">
        <w:r w:rsidRPr="000A62C3">
          <w:rPr>
            <w:rFonts w:asciiTheme="minorHAnsi" w:hAnsiTheme="minorHAnsi" w:cstheme="minorHAnsi"/>
            <w:sz w:val="18"/>
            <w:szCs w:val="18"/>
          </w:rPr>
          <w:t>V. Thery</w:t>
        </w:r>
      </w:hyperlink>
      <w:r w:rsidRPr="000A62C3">
        <w:rPr>
          <w:rFonts w:asciiTheme="minorHAnsi" w:hAnsiTheme="minorHAnsi" w:cstheme="minorHAnsi"/>
          <w:sz w:val="18"/>
          <w:szCs w:val="18"/>
        </w:rPr>
        <w:t xml:space="preserve">, </w:t>
      </w:r>
      <w:hyperlink r:id="rId15" w:history="1">
        <w:r w:rsidRPr="000A62C3">
          <w:rPr>
            <w:rFonts w:asciiTheme="minorHAnsi" w:hAnsiTheme="minorHAnsi" w:cstheme="minorHAnsi"/>
            <w:sz w:val="18"/>
            <w:szCs w:val="18"/>
          </w:rPr>
          <w:t>W-D Fessner</w:t>
        </w:r>
      </w:hyperlink>
      <w:r w:rsidRPr="000A62C3">
        <w:rPr>
          <w:rFonts w:asciiTheme="minorHAnsi" w:hAnsiTheme="minorHAnsi" w:cstheme="minorHAnsi"/>
          <w:sz w:val="18"/>
          <w:szCs w:val="18"/>
        </w:rPr>
        <w:t xml:space="preserve">, </w:t>
      </w:r>
      <w:hyperlink r:id="rId16" w:history="1">
        <w:r w:rsidRPr="000A62C3">
          <w:rPr>
            <w:rFonts w:asciiTheme="minorHAnsi" w:hAnsiTheme="minorHAnsi" w:cstheme="minorHAnsi"/>
            <w:sz w:val="18"/>
            <w:szCs w:val="18"/>
          </w:rPr>
          <w:t>N. Duguet</w:t>
        </w:r>
      </w:hyperlink>
      <w:r w:rsidRPr="000A62C3">
        <w:rPr>
          <w:rFonts w:asciiTheme="minorHAnsi" w:hAnsiTheme="minorHAnsi" w:cstheme="minorHAnsi"/>
          <w:sz w:val="18"/>
          <w:szCs w:val="18"/>
        </w:rPr>
        <w:t xml:space="preserve">, </w:t>
      </w:r>
      <w:hyperlink r:id="rId17" w:history="1">
        <w:r w:rsidRPr="000A62C3">
          <w:rPr>
            <w:rFonts w:asciiTheme="minorHAnsi" w:hAnsiTheme="minorHAnsi" w:cstheme="minorHAnsi"/>
            <w:sz w:val="18"/>
            <w:szCs w:val="18"/>
          </w:rPr>
          <w:t>F. Charmantray</w:t>
        </w:r>
      </w:hyperlink>
      <w:r w:rsidRPr="000A62C3">
        <w:rPr>
          <w:rFonts w:asciiTheme="minorHAnsi" w:hAnsiTheme="minorHAnsi" w:cstheme="minorHAnsi"/>
          <w:sz w:val="18"/>
          <w:szCs w:val="18"/>
        </w:rPr>
        <w:t xml:space="preserve">, </w:t>
      </w:r>
      <w:hyperlink r:id="rId18" w:history="1">
        <w:r w:rsidRPr="000A62C3">
          <w:rPr>
            <w:rFonts w:asciiTheme="minorHAnsi" w:hAnsiTheme="minorHAnsi" w:cstheme="minorHAnsi"/>
            <w:sz w:val="18"/>
            <w:szCs w:val="18"/>
          </w:rPr>
          <w:t>L. Hecquet</w:t>
        </w:r>
      </w:hyperlink>
      <w:r w:rsidRPr="000A62C3">
        <w:rPr>
          <w:rFonts w:asciiTheme="minorHAnsi" w:hAnsiTheme="minorHAnsi" w:cstheme="minorHAnsi"/>
          <w:sz w:val="18"/>
          <w:szCs w:val="18"/>
        </w:rPr>
        <w:t>.</w:t>
      </w:r>
      <w:r w:rsidR="000A62C3" w:rsidRPr="000A62C3">
        <w:rPr>
          <w:rFonts w:asciiTheme="minorHAnsi" w:hAnsiTheme="minorHAnsi" w:cstheme="minorHAnsi"/>
          <w:bCs/>
          <w:kern w:val="36"/>
          <w:sz w:val="18"/>
          <w:szCs w:val="18"/>
          <w:lang w:val="en"/>
        </w:rPr>
        <w:t xml:space="preserve"> Enzymatic Synthesis of Aliphatic Acyloins Catalyzed by Thermostable Transketolase.</w:t>
      </w:r>
      <w:r w:rsidRPr="000A62C3">
        <w:rPr>
          <w:rFonts w:asciiTheme="minorHAnsi" w:hAnsiTheme="minorHAnsi" w:cstheme="minorHAnsi"/>
          <w:sz w:val="18"/>
          <w:szCs w:val="18"/>
        </w:rPr>
        <w:t xml:space="preserve"> </w:t>
      </w:r>
      <w:r w:rsidRPr="000A62C3">
        <w:rPr>
          <w:rFonts w:asciiTheme="minorHAnsi" w:hAnsiTheme="minorHAnsi" w:cstheme="minorHAnsi"/>
          <w:bCs/>
          <w:i/>
          <w:kern w:val="36"/>
          <w:sz w:val="18"/>
          <w:szCs w:val="18"/>
          <w:lang w:val="en"/>
        </w:rPr>
        <w:t>ChemCatChem</w:t>
      </w:r>
      <w:r w:rsidRPr="000A62C3">
        <w:rPr>
          <w:rFonts w:asciiTheme="minorHAnsi" w:hAnsiTheme="minorHAnsi" w:cstheme="minorHAnsi"/>
          <w:bCs/>
          <w:kern w:val="36"/>
          <w:sz w:val="18"/>
          <w:szCs w:val="18"/>
          <w:lang w:val="en"/>
        </w:rPr>
        <w:t xml:space="preserve">, 2020, </w:t>
      </w:r>
      <w:r w:rsidRPr="000A62C3">
        <w:rPr>
          <w:rFonts w:asciiTheme="minorHAnsi" w:hAnsiTheme="minorHAnsi" w:cstheme="minorHAnsi"/>
          <w:bCs/>
          <w:i/>
          <w:kern w:val="36"/>
          <w:sz w:val="18"/>
          <w:szCs w:val="18"/>
          <w:lang w:val="en"/>
        </w:rPr>
        <w:t>12</w:t>
      </w:r>
      <w:r w:rsidRPr="000A62C3">
        <w:rPr>
          <w:rFonts w:asciiTheme="minorHAnsi" w:hAnsiTheme="minorHAnsi" w:cstheme="minorHAnsi"/>
          <w:bCs/>
          <w:kern w:val="36"/>
          <w:sz w:val="18"/>
          <w:szCs w:val="18"/>
          <w:lang w:val="en"/>
        </w:rPr>
        <w:t>, 5772-5779.</w:t>
      </w:r>
      <w:r w:rsidRPr="000A62C3">
        <w:rPr>
          <w:rFonts w:asciiTheme="minorHAnsi" w:hAnsiTheme="minorHAnsi" w:cstheme="minorHAnsi"/>
          <w:sz w:val="18"/>
          <w:szCs w:val="18"/>
          <w:lang w:val="en-GB"/>
        </w:rPr>
        <w:t xml:space="preserve"> </w:t>
      </w:r>
    </w:p>
    <w:p w:rsidR="00AE3E37" w:rsidRDefault="00AE3E37" w:rsidP="00DA73CA">
      <w:pPr>
        <w:tabs>
          <w:tab w:val="left" w:pos="384"/>
        </w:tabs>
        <w:spacing w:before="103" w:line="216" w:lineRule="exact"/>
        <w:ind w:right="138"/>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DA73CA" w:rsidRDefault="00DA73CA" w:rsidP="00DA73CA">
      <w:pPr>
        <w:pStyle w:val="Titre3"/>
        <w:spacing w:before="74"/>
        <w:rPr>
          <w:rFonts w:asciiTheme="minorHAnsi" w:hAnsiTheme="minorHAnsi" w:cstheme="minorHAnsi"/>
          <w:b w:val="0"/>
          <w:sz w:val="18"/>
          <w:szCs w:val="18"/>
        </w:rPr>
      </w:pPr>
      <w:r w:rsidRPr="00DA73CA">
        <w:rPr>
          <w:rFonts w:asciiTheme="minorHAnsi" w:hAnsiTheme="minorHAnsi" w:cstheme="minorHAnsi"/>
          <w:b w:val="0"/>
          <w:sz w:val="18"/>
          <w:szCs w:val="18"/>
        </w:rPr>
        <w:lastRenderedPageBreak/>
        <w:t>Figure  1 :  Broadenind of Transketolase substrate s</w:t>
      </w:r>
      <w:r>
        <w:rPr>
          <w:rFonts w:asciiTheme="minorHAnsi" w:hAnsiTheme="minorHAnsi" w:cstheme="minorHAnsi"/>
          <w:b w:val="0"/>
          <w:sz w:val="18"/>
          <w:szCs w:val="18"/>
        </w:rPr>
        <w:t xml:space="preserve">cope </w:t>
      </w:r>
      <w:r w:rsidRPr="00DA73CA">
        <w:rPr>
          <w:rFonts w:asciiTheme="minorHAnsi" w:hAnsiTheme="minorHAnsi" w:cstheme="minorHAnsi"/>
          <w:b w:val="0"/>
          <w:sz w:val="18"/>
          <w:szCs w:val="18"/>
        </w:rPr>
        <w:t>by directed</w:t>
      </w:r>
    </w:p>
    <w:p w:rsidR="00DA73CA" w:rsidRPr="00DA73CA" w:rsidRDefault="00DA73CA" w:rsidP="00DA73CA">
      <w:pPr>
        <w:pStyle w:val="Titre3"/>
        <w:spacing w:before="74"/>
        <w:rPr>
          <w:b w:val="0"/>
        </w:rPr>
      </w:pPr>
      <w:r w:rsidRPr="00DA73CA">
        <w:rPr>
          <w:rFonts w:asciiTheme="minorHAnsi" w:hAnsiTheme="minorHAnsi" w:cstheme="minorHAnsi"/>
          <w:b w:val="0"/>
          <w:sz w:val="18"/>
          <w:szCs w:val="18"/>
        </w:rPr>
        <w:t xml:space="preserve"> evolution</w:t>
      </w:r>
    </w:p>
    <w:p w:rsidR="00AE3E37" w:rsidRDefault="00AE3E37">
      <w:pPr>
        <w:pStyle w:val="Corpsdetexte"/>
        <w:rPr>
          <w:rFonts w:ascii="Calibri"/>
          <w:sz w:val="20"/>
        </w:rPr>
      </w:pPr>
    </w:p>
    <w:p w:rsidR="00DA73CA" w:rsidRDefault="00DA73CA">
      <w:pPr>
        <w:pStyle w:val="Corpsdetexte"/>
        <w:rPr>
          <w:rFonts w:ascii="Calibri"/>
          <w:sz w:val="20"/>
        </w:rPr>
      </w:pPr>
    </w:p>
    <w:p w:rsidR="00DA73CA" w:rsidRDefault="00DA73CA">
      <w:pPr>
        <w:pStyle w:val="Corpsdetexte"/>
        <w:rPr>
          <w:rFonts w:ascii="Calibri"/>
          <w:sz w:val="20"/>
        </w:rPr>
      </w:pPr>
    </w:p>
    <w:p w:rsidR="00DA73CA" w:rsidRDefault="00DA73CA">
      <w:pPr>
        <w:pStyle w:val="Corpsdetexte"/>
        <w:rPr>
          <w:rFonts w:ascii="Calibri"/>
          <w:sz w:val="20"/>
        </w:rPr>
      </w:pPr>
    </w:p>
    <w:p w:rsidR="00AE3E37" w:rsidRDefault="00292ED9">
      <w:pPr>
        <w:pStyle w:val="Corpsdetexte"/>
        <w:spacing w:line="40" w:lineRule="exact"/>
        <w:ind w:left="2202"/>
        <w:rPr>
          <w:rFonts w:ascii="Calibri"/>
          <w:sz w:val="4"/>
        </w:rPr>
      </w:pPr>
      <w:r>
        <w:rPr>
          <w:rFonts w:ascii="Calibri"/>
          <w:noProof/>
          <w:sz w:val="4"/>
          <w:lang w:val="fr-FR" w:eastAsia="fr-FR"/>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8F1599B"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0A62C3">
        <w:rPr>
          <w:rFonts w:ascii="Times New Roman" w:hAnsi="Times New Roman"/>
          <w:noProof/>
          <w:color w:val="263033"/>
          <w:sz w:val="20"/>
          <w:lang w:val="fr-FR" w:eastAsia="fr-FR"/>
        </w:rPr>
        <w:drawing>
          <wp:inline distT="0" distB="0" distL="0" distR="0" wp14:anchorId="695A5AAD" wp14:editId="4A557FF4">
            <wp:extent cx="967250" cy="885825"/>
            <wp:effectExtent l="0" t="0" r="4445" b="0"/>
            <wp:docPr id="1" name="Image 1" descr="http://iccf.univ-bpclermont.fr/IMG/jpg/hecqu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http://iccf.univ-bpclermont.fr/IMG/jpg/hecquet.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72376" cy="890519"/>
                    </a:xfrm>
                    <a:prstGeom prst="rect">
                      <a:avLst/>
                    </a:prstGeom>
                    <a:noFill/>
                    <a:ln>
                      <a:noFill/>
                    </a:ln>
                  </pic:spPr>
                </pic:pic>
              </a:graphicData>
            </a:graphic>
          </wp:inline>
        </w:drawing>
      </w:r>
      <w:r>
        <w:rPr>
          <w:noProof/>
        </w:rPr>
        <w:t xml:space="preserve">   </w:t>
      </w:r>
      <w:r w:rsidR="00A9710C">
        <w:rPr>
          <w:rFonts w:ascii="Arial"/>
          <w:color w:val="BF5A14"/>
        </w:rPr>
        <w:t>Biography</w:t>
      </w:r>
      <w:r w:rsidR="00404E5B">
        <w:rPr>
          <w:rFonts w:ascii="Arial"/>
          <w:color w:val="BF5A14"/>
        </w:rPr>
        <w:t xml:space="preserve"> (150 word limit)</w:t>
      </w:r>
    </w:p>
    <w:p w:rsidR="000A62C3" w:rsidRPr="000A62C3" w:rsidRDefault="000A62C3" w:rsidP="000A62C3">
      <w:pPr>
        <w:autoSpaceDE w:val="0"/>
        <w:autoSpaceDN w:val="0"/>
        <w:adjustRightInd w:val="0"/>
        <w:jc w:val="both"/>
        <w:rPr>
          <w:rFonts w:ascii="Arial" w:hAnsi="Arial" w:cs="Arial"/>
          <w:sz w:val="14"/>
          <w:szCs w:val="14"/>
          <w:lang w:eastAsia="fr-FR"/>
        </w:rPr>
      </w:pPr>
      <w:r w:rsidRPr="000A62C3">
        <w:rPr>
          <w:rFonts w:ascii="Arial" w:hAnsi="Arial" w:cs="Arial"/>
          <w:bCs/>
          <w:color w:val="000000" w:themeColor="text1"/>
          <w:sz w:val="14"/>
          <w:szCs w:val="14"/>
          <w:highlight w:val="cyan"/>
        </w:rPr>
        <w:t xml:space="preserve">Laurence Hecquet (Full Professor since 2000, </w:t>
      </w:r>
      <w:r w:rsidRPr="000A62C3">
        <w:rPr>
          <w:rFonts w:ascii="Arial" w:hAnsi="Arial" w:cs="Arial"/>
          <w:color w:val="000000" w:themeColor="text1"/>
          <w:sz w:val="14"/>
          <w:szCs w:val="14"/>
          <w:highlight w:val="cyan"/>
        </w:rPr>
        <w:t xml:space="preserve">PhD) develops her research activities at the </w:t>
      </w:r>
      <w:r w:rsidRPr="000A62C3">
        <w:rPr>
          <w:rFonts w:ascii="Arial" w:hAnsi="Arial" w:cs="Arial"/>
          <w:bCs/>
          <w:color w:val="000000" w:themeColor="text1"/>
          <w:sz w:val="14"/>
          <w:szCs w:val="14"/>
          <w:highlight w:val="cyan"/>
        </w:rPr>
        <w:t xml:space="preserve">Institute of chemistry of Clermont-Ferrand (ICCF, UMR 6296), University Clermont Auvergne (UCA), France. </w:t>
      </w:r>
      <w:r w:rsidRPr="000A62C3">
        <w:rPr>
          <w:rFonts w:ascii="Arial" w:hAnsi="Arial" w:cs="Arial"/>
          <w:color w:val="000000" w:themeColor="text1"/>
          <w:sz w:val="14"/>
          <w:szCs w:val="14"/>
          <w:highlight w:val="cyan"/>
        </w:rPr>
        <w:t xml:space="preserve">Her research focuses on the </w:t>
      </w:r>
      <w:r w:rsidRPr="000A62C3">
        <w:rPr>
          <w:rFonts w:ascii="Arial" w:hAnsi="Arial" w:cs="Arial"/>
          <w:bCs/>
          <w:color w:val="000000" w:themeColor="text1"/>
          <w:sz w:val="14"/>
          <w:szCs w:val="14"/>
          <w:highlight w:val="cyan"/>
        </w:rPr>
        <w:t xml:space="preserve">enzymatic synthesis of chiral compounds particularly by stereoselective carboligation catalyzed by transketolase (TK), a thiamine diphosphate (ThDP) dependent enzyme. Her </w:t>
      </w:r>
      <w:r w:rsidRPr="000A62C3">
        <w:rPr>
          <w:rFonts w:ascii="Arial" w:hAnsi="Arial" w:cs="Arial"/>
          <w:color w:val="000000" w:themeColor="text1"/>
          <w:sz w:val="14"/>
          <w:szCs w:val="14"/>
          <w:highlight w:val="cyan"/>
        </w:rPr>
        <w:t xml:space="preserve">group has recently discovered and </w:t>
      </w:r>
      <w:r w:rsidRPr="000A62C3">
        <w:rPr>
          <w:rFonts w:ascii="Arial" w:hAnsi="Arial" w:cs="Arial"/>
          <w:color w:val="000000" w:themeColor="text1"/>
          <w:sz w:val="14"/>
          <w:szCs w:val="14"/>
          <w:highlight w:val="cyan"/>
          <w:lang w:eastAsia="fr-FR"/>
        </w:rPr>
        <w:t>engineered by directed evolution</w:t>
      </w:r>
      <w:r w:rsidRPr="000A62C3">
        <w:rPr>
          <w:rFonts w:ascii="Arial" w:hAnsi="Arial" w:cs="Arial"/>
          <w:color w:val="000000" w:themeColor="text1"/>
          <w:sz w:val="14"/>
          <w:szCs w:val="14"/>
          <w:highlight w:val="cyan"/>
        </w:rPr>
        <w:t xml:space="preserve"> a novel </w:t>
      </w:r>
      <w:r w:rsidRPr="000A62C3">
        <w:rPr>
          <w:rFonts w:ascii="Arial" w:hAnsi="Arial" w:cs="Arial"/>
          <w:bCs/>
          <w:color w:val="000000" w:themeColor="text1"/>
          <w:sz w:val="14"/>
          <w:szCs w:val="14"/>
          <w:highlight w:val="cyan"/>
        </w:rPr>
        <w:t xml:space="preserve">thermostable TK from </w:t>
      </w:r>
      <w:r w:rsidRPr="000A62C3">
        <w:rPr>
          <w:rFonts w:ascii="Arial" w:hAnsi="Arial" w:cs="Arial"/>
          <w:bCs/>
          <w:i/>
          <w:color w:val="000000" w:themeColor="text1"/>
          <w:sz w:val="14"/>
          <w:szCs w:val="14"/>
          <w:highlight w:val="cyan"/>
        </w:rPr>
        <w:t>Geobacillus stearothermophilu</w:t>
      </w:r>
      <w:r w:rsidRPr="000A62C3">
        <w:rPr>
          <w:rFonts w:ascii="Arial" w:hAnsi="Arial" w:cs="Arial"/>
          <w:bCs/>
          <w:color w:val="000000" w:themeColor="text1"/>
          <w:sz w:val="14"/>
          <w:szCs w:val="14"/>
          <w:highlight w:val="cyan"/>
        </w:rPr>
        <w:t xml:space="preserve">s. </w:t>
      </w:r>
      <w:r w:rsidRPr="000A62C3">
        <w:rPr>
          <w:rFonts w:ascii="Arial" w:hAnsi="Arial" w:cs="Arial"/>
          <w:color w:val="000000" w:themeColor="text1"/>
          <w:sz w:val="14"/>
          <w:szCs w:val="14"/>
          <w:highlight w:val="cyan"/>
          <w:lang w:eastAsia="fr-FR"/>
        </w:rPr>
        <w:t xml:space="preserve">The best TK variants efficiently improved wild type TK activity toward pyruvate and higher aliphatic homologues as nucleophiles and toward a large range </w:t>
      </w:r>
      <w:r w:rsidRPr="000A62C3">
        <w:rPr>
          <w:rFonts w:ascii="Arial" w:eastAsia="Times New Roman" w:hAnsi="Arial" w:cs="Arial"/>
          <w:color w:val="000000" w:themeColor="text1"/>
          <w:sz w:val="14"/>
          <w:szCs w:val="14"/>
          <w:highlight w:val="cyan"/>
          <w:lang w:eastAsia="fr-FR"/>
        </w:rPr>
        <w:lastRenderedPageBreak/>
        <w:t xml:space="preserve">of polyhydroxylated </w:t>
      </w:r>
      <w:r w:rsidRPr="000A62C3">
        <w:rPr>
          <w:rFonts w:ascii="Arial" w:hAnsi="Arial" w:cs="Arial"/>
          <w:color w:val="000000" w:themeColor="text1"/>
          <w:sz w:val="14"/>
          <w:szCs w:val="14"/>
          <w:highlight w:val="cyan"/>
          <w:lang w:eastAsia="fr-FR"/>
        </w:rPr>
        <w:t xml:space="preserve">or aliphatic </w:t>
      </w:r>
      <w:r w:rsidRPr="000A62C3">
        <w:rPr>
          <w:rFonts w:ascii="Arial" w:eastAsia="Times New Roman" w:hAnsi="Arial" w:cs="Arial"/>
          <w:color w:val="000000" w:themeColor="text1"/>
          <w:sz w:val="14"/>
          <w:szCs w:val="14"/>
          <w:highlight w:val="cyan"/>
          <w:lang w:eastAsia="fr-FR"/>
        </w:rPr>
        <w:t xml:space="preserve">aldehydes as electophiles. The biocatalytic applications led to various chiral hydroxyketones </w:t>
      </w:r>
      <w:r w:rsidRPr="000A62C3">
        <w:rPr>
          <w:rFonts w:ascii="Arial" w:hAnsi="Arial" w:cs="Arial"/>
          <w:color w:val="000000" w:themeColor="text1"/>
          <w:sz w:val="14"/>
          <w:szCs w:val="14"/>
          <w:highlight w:val="cyan"/>
          <w:lang w:eastAsia="fr-FR"/>
        </w:rPr>
        <w:t xml:space="preserve">with high stereocontrol. </w:t>
      </w:r>
      <w:r w:rsidRPr="000A62C3">
        <w:rPr>
          <w:rFonts w:ascii="Arial" w:hAnsi="Arial" w:cs="Arial"/>
          <w:color w:val="000000" w:themeColor="text1"/>
          <w:sz w:val="14"/>
          <w:szCs w:val="14"/>
          <w:highlight w:val="cyan"/>
        </w:rPr>
        <w:t>The long-term goals of her works are to broaden the substrate spectra of TK and of other ThDP enzymes and to optimize the biocatalytic processes in developping multienzymatic cascade reaction for obtaining new chiral compounds of biological interests.</w:t>
      </w:r>
      <w:r w:rsidRPr="000A62C3">
        <w:rPr>
          <w:rFonts w:ascii="Arial" w:hAnsi="Arial" w:cs="Arial"/>
          <w:color w:val="000000" w:themeColor="text1"/>
          <w:sz w:val="14"/>
          <w:szCs w:val="14"/>
        </w:rPr>
        <w:t xml:space="preserve"> </w:t>
      </w:r>
    </w:p>
    <w:p w:rsidR="00AE3E37" w:rsidRDefault="00A9710C">
      <w:pPr>
        <w:spacing w:before="62"/>
        <w:ind w:left="4217" w:right="4235"/>
        <w:jc w:val="center"/>
        <w:rPr>
          <w:rFonts w:ascii="Arial"/>
          <w:sz w:val="14"/>
        </w:rPr>
      </w:pPr>
      <w:r>
        <w:rPr>
          <w:rFonts w:ascii="Arial"/>
          <w:sz w:val="14"/>
        </w:rPr>
        <w:t xml:space="preserve">Email: </w:t>
      </w:r>
      <w:r w:rsidR="000A62C3" w:rsidRPr="000A62C3">
        <w:rPr>
          <w:sz w:val="14"/>
          <w:szCs w:val="14"/>
        </w:rPr>
        <w:t>Laurence.hecquet@uca.fr</w:t>
      </w:r>
    </w:p>
    <w:p w:rsidR="00AE3E37" w:rsidRDefault="00292ED9">
      <w:pPr>
        <w:pStyle w:val="Corpsdetexte"/>
        <w:spacing w:before="2"/>
        <w:rPr>
          <w:rFonts w:ascii="Arial"/>
          <w:sz w:val="19"/>
        </w:rPr>
      </w:pPr>
      <w:r>
        <w:rPr>
          <w:noProof/>
          <w:lang w:val="fr-FR" w:eastAsia="fr-FR"/>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4C07B7"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Corpsdetexte"/>
        <w:rPr>
          <w:rFonts w:ascii="Arial"/>
          <w:sz w:val="20"/>
        </w:rPr>
      </w:pPr>
    </w:p>
    <w:p w:rsidR="00AE3E37" w:rsidRDefault="00AE3E37">
      <w:pPr>
        <w:pStyle w:val="Corpsdetexte"/>
        <w:rPr>
          <w:rFonts w:ascii="Arial"/>
          <w:sz w:val="20"/>
        </w:rPr>
      </w:pPr>
    </w:p>
    <w:p w:rsidR="00AE3E37" w:rsidRDefault="00AE3E37">
      <w:pPr>
        <w:pStyle w:val="Corpsdetexte"/>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Corpsdetexte"/>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55FC" w:rsidRDefault="00FC55FC">
      <w:r>
        <w:separator/>
      </w:r>
    </w:p>
  </w:endnote>
  <w:endnote w:type="continuationSeparator" w:id="0">
    <w:p w:rsidR="00FC55FC" w:rsidRDefault="00FC55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altName w:val="Calibri"/>
    <w:panose1 w:val="020F0502020204030204"/>
    <w:charset w:val="00"/>
    <w:family w:val="swiss"/>
    <w:pitch w:val="variable"/>
    <w:sig w:usb0="E4002EFF" w:usb1="C0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MS PGothic">
    <w:panose1 w:val="020B0600070205080204"/>
    <w:charset w:val="80"/>
    <w:family w:val="swiss"/>
    <w:pitch w:val="variable"/>
    <w:sig w:usb0="E00002FF" w:usb1="6AC7FDFB" w:usb2="08000012" w:usb3="00000000" w:csb0="0002009F"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Corpsdetexte"/>
      <w:spacing w:line="14" w:lineRule="auto"/>
      <w:rPr>
        <w:sz w:val="20"/>
      </w:rPr>
    </w:pPr>
    <w:r>
      <w:rPr>
        <w:noProof/>
        <w:lang w:val="fr-FR" w:eastAsia="fr-FR"/>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fr-FR" w:eastAsia="fr-FR"/>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fr-FR" w:eastAsia="fr-FR"/>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55FC" w:rsidRDefault="00FC55FC">
      <w:r>
        <w:separator/>
      </w:r>
    </w:p>
  </w:footnote>
  <w:footnote w:type="continuationSeparator" w:id="0">
    <w:p w:rsidR="00FC55FC" w:rsidRDefault="00FC55F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Corpsdetexte"/>
      <w:spacing w:line="14" w:lineRule="auto"/>
      <w:rPr>
        <w:sz w:val="20"/>
      </w:rPr>
    </w:pPr>
    <w:r>
      <w:rPr>
        <w:noProof/>
        <w:lang w:val="fr-FR" w:eastAsia="fr-FR"/>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fr-FR" w:eastAsia="fr-FR"/>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A62C3"/>
    <w:rsid w:val="000E2911"/>
    <w:rsid w:val="001263DF"/>
    <w:rsid w:val="002455EC"/>
    <w:rsid w:val="00292ED9"/>
    <w:rsid w:val="002A1FAD"/>
    <w:rsid w:val="00404E5B"/>
    <w:rsid w:val="00414F7B"/>
    <w:rsid w:val="004355DC"/>
    <w:rsid w:val="004749B4"/>
    <w:rsid w:val="00494130"/>
    <w:rsid w:val="004F3523"/>
    <w:rsid w:val="005973B9"/>
    <w:rsid w:val="005B3A56"/>
    <w:rsid w:val="005C71B2"/>
    <w:rsid w:val="006060CE"/>
    <w:rsid w:val="0063497F"/>
    <w:rsid w:val="00827E40"/>
    <w:rsid w:val="00873DF0"/>
    <w:rsid w:val="008756E6"/>
    <w:rsid w:val="008A08B6"/>
    <w:rsid w:val="009B2D44"/>
    <w:rsid w:val="00A07E82"/>
    <w:rsid w:val="00A6790C"/>
    <w:rsid w:val="00A9710C"/>
    <w:rsid w:val="00AE3E37"/>
    <w:rsid w:val="00B21A57"/>
    <w:rsid w:val="00C2353A"/>
    <w:rsid w:val="00C33602"/>
    <w:rsid w:val="00CD6F55"/>
    <w:rsid w:val="00DA73CA"/>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35DDFD5"/>
  <w15:docId w15:val="{9572746A-CB9E-44C1-88AE-6444CE6B72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Titre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re2">
    <w:name w:val="heading 2"/>
    <w:basedOn w:val="Normal"/>
    <w:uiPriority w:val="1"/>
    <w:qFormat/>
    <w:rsid w:val="00CD6F55"/>
    <w:pPr>
      <w:ind w:left="100"/>
      <w:outlineLvl w:val="1"/>
    </w:pPr>
    <w:rPr>
      <w:rFonts w:ascii="Minion Pro" w:eastAsia="Minion Pro" w:hAnsi="Minion Pro" w:cs="Minion Pro"/>
      <w:sz w:val="24"/>
      <w:szCs w:val="24"/>
    </w:rPr>
  </w:style>
  <w:style w:type="paragraph" w:styleId="Titre3">
    <w:name w:val="heading 3"/>
    <w:basedOn w:val="Normal"/>
    <w:uiPriority w:val="1"/>
    <w:qFormat/>
    <w:rsid w:val="00CD6F55"/>
    <w:pPr>
      <w:ind w:left="100"/>
      <w:outlineLvl w:val="2"/>
    </w:pPr>
    <w:rPr>
      <w:rFonts w:ascii="Arial" w:eastAsia="Arial" w:hAnsi="Arial" w:cs="Arial"/>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rsid w:val="00CD6F55"/>
    <w:rPr>
      <w:sz w:val="18"/>
      <w:szCs w:val="18"/>
    </w:rPr>
  </w:style>
  <w:style w:type="paragraph" w:styleId="Paragraphedeliste">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tte">
    <w:name w:val="header"/>
    <w:basedOn w:val="Normal"/>
    <w:link w:val="En-tteCar"/>
    <w:uiPriority w:val="99"/>
    <w:unhideWhenUsed/>
    <w:rsid w:val="005B3A56"/>
    <w:pPr>
      <w:tabs>
        <w:tab w:val="center" w:pos="4513"/>
        <w:tab w:val="right" w:pos="9026"/>
      </w:tabs>
    </w:pPr>
  </w:style>
  <w:style w:type="character" w:customStyle="1" w:styleId="En-tteCar">
    <w:name w:val="En-tête Car"/>
    <w:basedOn w:val="Policepardfaut"/>
    <w:link w:val="En-tte"/>
    <w:uiPriority w:val="99"/>
    <w:rsid w:val="005B3A56"/>
    <w:rPr>
      <w:rFonts w:ascii="Tw Cen MT" w:eastAsia="Tw Cen MT" w:hAnsi="Tw Cen MT" w:cs="Tw Cen MT"/>
    </w:rPr>
  </w:style>
  <w:style w:type="paragraph" w:styleId="Pieddepage">
    <w:name w:val="footer"/>
    <w:basedOn w:val="Normal"/>
    <w:link w:val="PieddepageCar"/>
    <w:uiPriority w:val="99"/>
    <w:unhideWhenUsed/>
    <w:rsid w:val="005B3A56"/>
    <w:pPr>
      <w:tabs>
        <w:tab w:val="center" w:pos="4513"/>
        <w:tab w:val="right" w:pos="9026"/>
      </w:tabs>
    </w:pPr>
  </w:style>
  <w:style w:type="character" w:customStyle="1" w:styleId="PieddepageCar">
    <w:name w:val="Pied de page Car"/>
    <w:basedOn w:val="Policepardfaut"/>
    <w:link w:val="Pieddepage"/>
    <w:uiPriority w:val="99"/>
    <w:rsid w:val="005B3A56"/>
    <w:rPr>
      <w:rFonts w:ascii="Tw Cen MT" w:eastAsia="Tw Cen MT" w:hAnsi="Tw Cen MT" w:cs="Tw Cen MT"/>
    </w:rPr>
  </w:style>
  <w:style w:type="paragraph" w:styleId="Textedebulles">
    <w:name w:val="Balloon Text"/>
    <w:basedOn w:val="Normal"/>
    <w:link w:val="TextedebullesCar"/>
    <w:uiPriority w:val="99"/>
    <w:semiHidden/>
    <w:unhideWhenUsed/>
    <w:rsid w:val="004F3523"/>
    <w:rPr>
      <w:rFonts w:ascii="Tahoma" w:hAnsi="Tahoma" w:cs="Tahoma"/>
      <w:sz w:val="16"/>
      <w:szCs w:val="16"/>
    </w:rPr>
  </w:style>
  <w:style w:type="character" w:customStyle="1" w:styleId="TextedebullesCar">
    <w:name w:val="Texte de bulles Car"/>
    <w:basedOn w:val="Policepardfaut"/>
    <w:link w:val="Textedebulles"/>
    <w:uiPriority w:val="99"/>
    <w:semiHidden/>
    <w:rsid w:val="004F3523"/>
    <w:rPr>
      <w:rFonts w:ascii="Tahoma" w:eastAsia="Tw Cen MT" w:hAnsi="Tahoma" w:cs="Tahoma"/>
      <w:sz w:val="16"/>
      <w:szCs w:val="16"/>
    </w:rPr>
  </w:style>
  <w:style w:type="character" w:styleId="Lienhypertexte">
    <w:name w:val="Hyperlink"/>
    <w:basedOn w:val="Policepardfaut"/>
    <w:uiPriority w:val="99"/>
    <w:unhideWhenUsed/>
    <w:rsid w:val="008756E6"/>
    <w:rPr>
      <w:color w:val="0000FF" w:themeColor="hyperlink"/>
      <w:u w:val="single"/>
    </w:rPr>
  </w:style>
  <w:style w:type="character" w:customStyle="1" w:styleId="CorpsdetexteCar">
    <w:name w:val="Corps de texte Car"/>
    <w:basedOn w:val="Policepardfaut"/>
    <w:link w:val="Corpsdetexte"/>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chemistry-europe.onlinelibrary.wiley.com/action/doSearch?ContribAuthorStored=Nauton%2C+Lionel" TargetMode="External"/><Relationship Id="rId18" Type="http://schemas.openxmlformats.org/officeDocument/2006/relationships/hyperlink" Target="https://chemistry-europe.onlinelibrary.wiley.com/action/doSearch?ContribAuthorStored=Hecquet%2C+Laurence"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eader" Target="header1.xml"/><Relationship Id="rId12" Type="http://schemas.openxmlformats.org/officeDocument/2006/relationships/hyperlink" Target="https://chemistry-europe.onlinelibrary.wiley.com/action/doSearch?ContribAuthorStored=Dios+Miguel%2C+Thomas+de" TargetMode="External"/><Relationship Id="rId17" Type="http://schemas.openxmlformats.org/officeDocument/2006/relationships/hyperlink" Target="https://chemistry-europe.onlinelibrary.wiley.com/action/doSearch?ContribAuthorStored=Charmantray%2C+Franck" TargetMode="External"/><Relationship Id="rId2" Type="http://schemas.openxmlformats.org/officeDocument/2006/relationships/styles" Target="styles.xml"/><Relationship Id="rId16" Type="http://schemas.openxmlformats.org/officeDocument/2006/relationships/hyperlink" Target="https://chemistry-europe.onlinelibrary.wiley.com/action/doSearch?ContribAuthorStored=Duguet%2C+Nicolas"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hemistry-europe.onlinelibrary.wiley.com/action/doSearch?ContribAuthorStored=Leremboure%2C+Martin" TargetMode="External"/><Relationship Id="rId5" Type="http://schemas.openxmlformats.org/officeDocument/2006/relationships/footnotes" Target="footnotes.xml"/><Relationship Id="rId15" Type="http://schemas.openxmlformats.org/officeDocument/2006/relationships/hyperlink" Target="https://chemistry-europe.onlinelibrary.wiley.com/action/doSearch?ContribAuthorStored=Fessner%2C+Wolf-Dieter" TargetMode="External"/><Relationship Id="rId10" Type="http://schemas.openxmlformats.org/officeDocument/2006/relationships/hyperlink" Target="https://chemistry-europe.onlinelibrary.wiley.com/action/doSearch?ContribAuthorStored=Casajus%2C+Hubert" TargetMode="External"/><Relationship Id="rId19"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emf"/><Relationship Id="rId14" Type="http://schemas.openxmlformats.org/officeDocument/2006/relationships/hyperlink" Target="https://chemistry-europe.onlinelibrary.wiley.com/action/doSearch?ContribAuthorStored=Thery%2C+Vincent"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785</Words>
  <Characters>4318</Characters>
  <Application>Microsoft Office Word</Application>
  <DocSecurity>0</DocSecurity>
  <Lines>35</Lines>
  <Paragraphs>10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5093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Laurence HECQUET</cp:lastModifiedBy>
  <cp:revision>4</cp:revision>
  <dcterms:created xsi:type="dcterms:W3CDTF">2021-02-10T10:46:00Z</dcterms:created>
  <dcterms:modified xsi:type="dcterms:W3CDTF">2021-02-10T10:51:00Z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