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022" w:rsidRDefault="003B44B6" w:rsidP="003B44B6">
      <w:pPr>
        <w:jc w:val="center"/>
        <w:rPr>
          <w:rFonts w:ascii="Times New Roman" w:hAnsi="Times New Roman" w:cs="Times New Roman"/>
          <w:sz w:val="28"/>
          <w:szCs w:val="28"/>
        </w:rPr>
      </w:pPr>
      <w:r w:rsidRPr="003B44B6">
        <w:rPr>
          <w:rFonts w:ascii="Times New Roman" w:hAnsi="Times New Roman" w:cs="Times New Roman"/>
          <w:sz w:val="28"/>
          <w:szCs w:val="28"/>
        </w:rPr>
        <w:t>A Randomized Controlled Trial of a Stepped Exercise Program for Patients with Knee Osteoarthritis</w:t>
      </w:r>
    </w:p>
    <w:p w:rsidR="003B44B6" w:rsidRDefault="00B26E5F" w:rsidP="003B44B6">
      <w:pPr>
        <w:jc w:val="center"/>
        <w:rPr>
          <w:rFonts w:ascii="Times New Roman" w:hAnsi="Times New Roman" w:cs="Times New Roman"/>
          <w:sz w:val="24"/>
          <w:szCs w:val="24"/>
          <w:vertAlign w:val="superscript"/>
        </w:rPr>
      </w:pPr>
      <w:r w:rsidRPr="00B26E5F">
        <w:rPr>
          <w:rFonts w:ascii="Times New Roman" w:hAnsi="Times New Roman" w:cs="Times New Roman"/>
          <w:sz w:val="24"/>
          <w:szCs w:val="24"/>
        </w:rPr>
        <w:t>Lauren M Abbate</w:t>
      </w:r>
      <w:r w:rsidRPr="00B26E5F">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sidRPr="00B26E5F">
        <w:rPr>
          <w:rFonts w:ascii="Times New Roman" w:hAnsi="Times New Roman" w:cs="Times New Roman"/>
          <w:sz w:val="24"/>
          <w:szCs w:val="24"/>
        </w:rPr>
        <w:t>Kelli D Allen</w:t>
      </w:r>
      <w:r w:rsidRPr="00B26E5F">
        <w:rPr>
          <w:rFonts w:ascii="Times New Roman" w:hAnsi="Times New Roman" w:cs="Times New Roman"/>
          <w:sz w:val="24"/>
          <w:szCs w:val="24"/>
          <w:vertAlign w:val="superscript"/>
        </w:rPr>
        <w:t>2</w:t>
      </w:r>
    </w:p>
    <w:p w:rsidR="00B26E5F" w:rsidRPr="00B26E5F" w:rsidRDefault="00B26E5F" w:rsidP="00B26E5F">
      <w:pPr>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Pr="00B26E5F">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B26E5F">
        <w:rPr>
          <w:rFonts w:ascii="Times New Roman" w:hAnsi="Times New Roman" w:cs="Times New Roman"/>
          <w:sz w:val="24"/>
          <w:szCs w:val="24"/>
        </w:rPr>
        <w:t>University of Colorado School of Medicine</w:t>
      </w:r>
      <w:r>
        <w:rPr>
          <w:rFonts w:ascii="Times New Roman" w:hAnsi="Times New Roman" w:cs="Times New Roman"/>
          <w:sz w:val="24"/>
          <w:szCs w:val="24"/>
        </w:rPr>
        <w:t>, USA</w:t>
      </w:r>
      <w:r>
        <w:rPr>
          <w:rFonts w:ascii="Times New Roman" w:hAnsi="Times New Roman" w:cs="Times New Roman"/>
          <w:sz w:val="24"/>
          <w:szCs w:val="24"/>
        </w:rPr>
        <w:br/>
        <w:t xml:space="preserve">                             </w:t>
      </w:r>
      <w:r w:rsidRPr="00B26E5F">
        <w:rPr>
          <w:rFonts w:ascii="Times New Roman" w:hAnsi="Times New Roman" w:cs="Times New Roman"/>
          <w:sz w:val="24"/>
          <w:szCs w:val="24"/>
          <w:vertAlign w:val="superscript"/>
        </w:rPr>
        <w:t>2</w:t>
      </w:r>
      <w:r w:rsidRPr="00B26E5F">
        <w:t xml:space="preserve"> </w:t>
      </w:r>
      <w:r w:rsidRPr="00B26E5F">
        <w:rPr>
          <w:rFonts w:ascii="Times New Roman" w:hAnsi="Times New Roman" w:cs="Times New Roman"/>
          <w:sz w:val="24"/>
          <w:szCs w:val="24"/>
        </w:rPr>
        <w:t>University of North Carolina</w:t>
      </w:r>
      <w:r>
        <w:rPr>
          <w:rFonts w:ascii="Times New Roman" w:hAnsi="Times New Roman" w:cs="Times New Roman"/>
          <w:sz w:val="24"/>
          <w:szCs w:val="24"/>
        </w:rPr>
        <w:t>, USA</w:t>
      </w:r>
    </w:p>
    <w:p w:rsidR="003B44B6" w:rsidRPr="003B44B6" w:rsidRDefault="003B44B6" w:rsidP="003B44B6">
      <w:pPr>
        <w:rPr>
          <w:rFonts w:ascii="Times New Roman" w:hAnsi="Times New Roman" w:cs="Times New Roman"/>
          <w:b/>
          <w:sz w:val="28"/>
          <w:szCs w:val="28"/>
        </w:rPr>
      </w:pPr>
      <w:r w:rsidRPr="003B44B6">
        <w:rPr>
          <w:rFonts w:ascii="Times New Roman" w:hAnsi="Times New Roman" w:cs="Times New Roman"/>
          <w:b/>
          <w:sz w:val="28"/>
          <w:szCs w:val="28"/>
        </w:rPr>
        <w:t>Introduction:</w:t>
      </w:r>
      <w:bookmarkStart w:id="0" w:name="_GoBack"/>
      <w:bookmarkEnd w:id="0"/>
    </w:p>
    <w:p w:rsidR="003B44B6" w:rsidRDefault="003B44B6" w:rsidP="003B44B6">
      <w:pPr>
        <w:rPr>
          <w:rFonts w:ascii="Times New Roman" w:hAnsi="Times New Roman" w:cs="Times New Roman"/>
          <w:sz w:val="24"/>
          <w:szCs w:val="24"/>
        </w:rPr>
      </w:pPr>
      <w:r w:rsidRPr="003B44B6">
        <w:rPr>
          <w:rFonts w:ascii="Times New Roman" w:hAnsi="Times New Roman" w:cs="Times New Roman"/>
          <w:sz w:val="24"/>
          <w:szCs w:val="24"/>
        </w:rPr>
        <w:t>Participants were randomly assigned to something like the STEP-KOA or the arthritis education (AE) control group in a 2:1 ratio. The STEP-KOA intervention started with a three-month internet fitness plan (step 1). Step 2 entailed three months of fortnightly physical activity coaching calls for participants who did not fulfil response criteria for improvement in pain and function after step 1. Participants who did not satisfy response criteria after step 2 carried on to physical therapy appointments in person (step 3). Every two weeks, the AE group received educational materials in the mail.</w:t>
      </w:r>
    </w:p>
    <w:p w:rsidR="003B44B6" w:rsidRPr="003B44B6" w:rsidRDefault="003B44B6" w:rsidP="003B44B6">
      <w:pPr>
        <w:rPr>
          <w:rFonts w:ascii="Times New Roman" w:hAnsi="Times New Roman" w:cs="Times New Roman"/>
          <w:b/>
          <w:sz w:val="28"/>
          <w:szCs w:val="28"/>
        </w:rPr>
      </w:pPr>
      <w:r w:rsidRPr="003B44B6">
        <w:rPr>
          <w:rFonts w:ascii="Times New Roman" w:hAnsi="Times New Roman" w:cs="Times New Roman"/>
          <w:b/>
          <w:sz w:val="28"/>
          <w:szCs w:val="28"/>
        </w:rPr>
        <w:t>Measurements:</w:t>
      </w:r>
    </w:p>
    <w:p w:rsidR="003B44B6" w:rsidRDefault="003B44B6" w:rsidP="003B44B6">
      <w:pPr>
        <w:rPr>
          <w:rFonts w:ascii="Times New Roman" w:hAnsi="Times New Roman" w:cs="Times New Roman"/>
          <w:sz w:val="24"/>
          <w:szCs w:val="24"/>
        </w:rPr>
      </w:pPr>
      <w:r w:rsidRPr="003B44B6">
        <w:rPr>
          <w:rFonts w:ascii="Times New Roman" w:hAnsi="Times New Roman" w:cs="Times New Roman"/>
          <w:sz w:val="24"/>
          <w:szCs w:val="24"/>
        </w:rPr>
        <w:t>The Western Ontario and McMaster Universities Osteoarthritis Index (WOMAC) score was the primary outcome. Linear mixed models were used to compare the STEP-KOA and AE groups' 9-month scores.</w:t>
      </w:r>
    </w:p>
    <w:p w:rsidR="003B44B6" w:rsidRPr="003B44B6" w:rsidRDefault="003B44B6" w:rsidP="003B44B6">
      <w:pPr>
        <w:rPr>
          <w:rFonts w:ascii="Times New Roman" w:hAnsi="Times New Roman" w:cs="Times New Roman"/>
          <w:b/>
          <w:bCs/>
          <w:sz w:val="28"/>
          <w:szCs w:val="28"/>
        </w:rPr>
      </w:pPr>
      <w:r w:rsidRPr="003B44B6">
        <w:rPr>
          <w:rFonts w:ascii="Times New Roman" w:hAnsi="Times New Roman" w:cs="Times New Roman"/>
          <w:b/>
          <w:bCs/>
          <w:sz w:val="28"/>
          <w:szCs w:val="28"/>
        </w:rPr>
        <w:t>Results:</w:t>
      </w:r>
    </w:p>
    <w:p w:rsidR="003B44B6" w:rsidRPr="003B44B6" w:rsidRDefault="003B44B6" w:rsidP="003B44B6">
      <w:pPr>
        <w:rPr>
          <w:rFonts w:ascii="Times New Roman" w:hAnsi="Times New Roman" w:cs="Times New Roman"/>
          <w:sz w:val="24"/>
          <w:szCs w:val="24"/>
        </w:rPr>
      </w:pPr>
      <w:r w:rsidRPr="003B44B6">
        <w:rPr>
          <w:rFonts w:ascii="Times New Roman" w:hAnsi="Times New Roman" w:cs="Times New Roman"/>
          <w:sz w:val="24"/>
          <w:szCs w:val="24"/>
        </w:rPr>
        <w:t>65 percent of STEP-KOA participants (150 of 230) advanced to step 2 and 35 percent (81 of 230) to step 3. For the entire sample, the estimated baseline WOMAC score was 47.5. (95 percent CI, 45.7 to 49.2). The estimated mean WOMAC score in the STEP-KOA group was 6.8 points (CI, -10.5 to -3.2 points) lower at 30 days than in the AE group, indicating greater improvement.</w:t>
      </w:r>
    </w:p>
    <w:sectPr w:rsidR="003B44B6" w:rsidRPr="003B44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4B6"/>
    <w:rsid w:val="003B44B6"/>
    <w:rsid w:val="00693A0C"/>
    <w:rsid w:val="0071136B"/>
    <w:rsid w:val="008F7199"/>
    <w:rsid w:val="00B26E5F"/>
    <w:rsid w:val="00E55D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B44B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B44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2022-05-13T09:56:00Z</dcterms:created>
  <dcterms:modified xsi:type="dcterms:W3CDTF">2022-05-13T10:16:00Z</dcterms:modified>
</cp:coreProperties>
</file>