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5A09A" w14:textId="47032626" w:rsidR="00D5749A" w:rsidRDefault="00D5749A" w:rsidP="00C17113">
      <w:pPr>
        <w:ind w:left="-11"/>
        <w:rPr>
          <w:rFonts w:asciiTheme="majorBidi" w:hAnsiTheme="majorBidi" w:cstheme="majorBidi"/>
          <w:b/>
          <w:i/>
          <w:sz w:val="36"/>
          <w:szCs w:val="36"/>
          <w:lang w:val="en-IE"/>
        </w:rPr>
      </w:pPr>
      <w:r w:rsidRPr="0071607E">
        <w:rPr>
          <w:rFonts w:asciiTheme="majorBidi" w:hAnsiTheme="majorBidi" w:cstheme="majorBidi"/>
          <w:b/>
          <w:i/>
          <w:sz w:val="36"/>
          <w:szCs w:val="36"/>
          <w:lang w:val="en-IE"/>
        </w:rPr>
        <w:t xml:space="preserve">Using Quality of Life </w:t>
      </w:r>
      <w:r>
        <w:rPr>
          <w:rFonts w:asciiTheme="majorBidi" w:hAnsiTheme="majorBidi" w:cstheme="majorBidi"/>
          <w:b/>
          <w:i/>
          <w:sz w:val="36"/>
          <w:szCs w:val="36"/>
          <w:lang w:val="en-IE"/>
        </w:rPr>
        <w:t xml:space="preserve">Outcome </w:t>
      </w:r>
      <w:r w:rsidRPr="0071607E">
        <w:rPr>
          <w:rFonts w:asciiTheme="majorBidi" w:hAnsiTheme="majorBidi" w:cstheme="majorBidi"/>
          <w:b/>
          <w:i/>
          <w:sz w:val="36"/>
          <w:szCs w:val="36"/>
          <w:lang w:val="en-IE"/>
        </w:rPr>
        <w:t xml:space="preserve">Information as a Clinical Tool in the Acute Hospital setting for </w:t>
      </w:r>
      <w:r>
        <w:rPr>
          <w:rFonts w:asciiTheme="majorBidi" w:hAnsiTheme="majorBidi" w:cstheme="majorBidi"/>
          <w:b/>
          <w:i/>
          <w:sz w:val="36"/>
          <w:szCs w:val="36"/>
          <w:lang w:val="en-IE"/>
        </w:rPr>
        <w:t xml:space="preserve">Oncology </w:t>
      </w:r>
      <w:r w:rsidRPr="0071607E">
        <w:rPr>
          <w:rFonts w:asciiTheme="majorBidi" w:hAnsiTheme="majorBidi" w:cstheme="majorBidi"/>
          <w:b/>
          <w:i/>
          <w:sz w:val="36"/>
          <w:szCs w:val="36"/>
          <w:lang w:val="en-IE"/>
        </w:rPr>
        <w:t>patients.</w:t>
      </w:r>
      <w:r>
        <w:rPr>
          <w:rFonts w:asciiTheme="majorBidi" w:hAnsiTheme="majorBidi" w:cstheme="majorBidi"/>
          <w:b/>
          <w:i/>
          <w:sz w:val="36"/>
          <w:szCs w:val="36"/>
          <w:lang w:val="en-IE"/>
        </w:rPr>
        <w:t xml:space="preserve"> A Randomised Control Clinical Trial.</w:t>
      </w:r>
    </w:p>
    <w:p w14:paraId="1FDA02D0" w14:textId="5A1A0179" w:rsidR="00C17113" w:rsidRDefault="00C012DF" w:rsidP="00C17113">
      <w:pPr>
        <w:ind w:left="-11"/>
        <w:rPr>
          <w:rFonts w:asciiTheme="majorBidi" w:hAnsiTheme="majorBidi" w:cstheme="majorBidi"/>
          <w:b/>
          <w:sz w:val="36"/>
          <w:szCs w:val="36"/>
          <w:lang w:val="en-IE"/>
        </w:rPr>
      </w:pPr>
      <w:r w:rsidRPr="00C012DF">
        <w:rPr>
          <w:rFonts w:asciiTheme="majorBidi" w:hAnsiTheme="majorBidi" w:cstheme="majorBidi"/>
          <w:b/>
          <w:sz w:val="36"/>
          <w:szCs w:val="36"/>
          <w:lang w:val="en-IE"/>
        </w:rPr>
        <w:t>Waldron D</w:t>
      </w:r>
      <w:r w:rsidRPr="00C012DF">
        <w:rPr>
          <w:rFonts w:asciiTheme="majorBidi" w:hAnsiTheme="majorBidi" w:cstheme="majorBidi"/>
          <w:b/>
          <w:sz w:val="20"/>
          <w:szCs w:val="20"/>
          <w:lang w:val="en-IE"/>
        </w:rPr>
        <w:t xml:space="preserve">1, </w:t>
      </w:r>
      <w:r w:rsidRPr="00C012DF">
        <w:rPr>
          <w:rFonts w:asciiTheme="majorBidi" w:hAnsiTheme="majorBidi" w:cstheme="majorBidi"/>
          <w:b/>
          <w:sz w:val="36"/>
          <w:szCs w:val="36"/>
          <w:lang w:val="en-IE"/>
        </w:rPr>
        <w:t>McInerney V</w:t>
      </w:r>
      <w:r w:rsidRPr="00C012DF">
        <w:rPr>
          <w:rFonts w:asciiTheme="majorBidi" w:hAnsiTheme="majorBidi" w:cstheme="majorBidi"/>
          <w:b/>
          <w:sz w:val="20"/>
          <w:szCs w:val="20"/>
          <w:lang w:val="en-IE"/>
        </w:rPr>
        <w:t>2</w:t>
      </w:r>
      <w:r w:rsidRPr="00C012DF">
        <w:rPr>
          <w:rFonts w:asciiTheme="majorBidi" w:hAnsiTheme="majorBidi" w:cstheme="majorBidi"/>
          <w:b/>
          <w:sz w:val="36"/>
          <w:szCs w:val="36"/>
          <w:lang w:val="en-IE"/>
        </w:rPr>
        <w:t>, Mannion E</w:t>
      </w:r>
      <w:r w:rsidRPr="00C012DF">
        <w:rPr>
          <w:rFonts w:asciiTheme="majorBidi" w:hAnsiTheme="majorBidi" w:cstheme="majorBidi"/>
          <w:b/>
          <w:sz w:val="20"/>
          <w:szCs w:val="20"/>
          <w:lang w:val="en-IE"/>
        </w:rPr>
        <w:t>1</w:t>
      </w:r>
      <w:r w:rsidRPr="00C012DF">
        <w:rPr>
          <w:rFonts w:asciiTheme="majorBidi" w:hAnsiTheme="majorBidi" w:cstheme="majorBidi"/>
          <w:b/>
          <w:sz w:val="36"/>
          <w:szCs w:val="36"/>
          <w:lang w:val="en-IE"/>
        </w:rPr>
        <w:t>.</w:t>
      </w:r>
    </w:p>
    <w:p w14:paraId="406E896B" w14:textId="2599D461" w:rsidR="00C012DF" w:rsidRPr="00C012DF" w:rsidRDefault="00C012DF" w:rsidP="00C17113">
      <w:pPr>
        <w:ind w:left="-11"/>
        <w:rPr>
          <w:rFonts w:asciiTheme="majorBidi" w:hAnsiTheme="majorBidi" w:cstheme="majorBidi"/>
          <w:b/>
          <w:sz w:val="20"/>
          <w:szCs w:val="20"/>
          <w:lang w:val="en-IE"/>
        </w:rPr>
      </w:pPr>
      <w:r w:rsidRPr="00C012DF">
        <w:rPr>
          <w:rFonts w:asciiTheme="majorBidi" w:hAnsiTheme="majorBidi" w:cstheme="majorBidi"/>
          <w:b/>
          <w:sz w:val="20"/>
          <w:szCs w:val="20"/>
          <w:lang w:val="en-IE"/>
        </w:rPr>
        <w:t>1</w:t>
      </w:r>
      <w:r>
        <w:rPr>
          <w:rFonts w:asciiTheme="majorBidi" w:hAnsiTheme="majorBidi" w:cstheme="majorBidi"/>
          <w:b/>
          <w:sz w:val="36"/>
          <w:szCs w:val="36"/>
          <w:lang w:val="en-IE"/>
        </w:rPr>
        <w:t xml:space="preserve"> </w:t>
      </w:r>
      <w:r w:rsidRPr="00C012DF">
        <w:rPr>
          <w:rFonts w:asciiTheme="majorBidi" w:hAnsiTheme="majorBidi" w:cstheme="majorBidi"/>
          <w:b/>
          <w:sz w:val="28"/>
          <w:szCs w:val="28"/>
          <w:lang w:val="en-IE"/>
        </w:rPr>
        <w:t>Dept of Palliative Medicine Saolta Group, NUIGalway.</w:t>
      </w:r>
    </w:p>
    <w:p w14:paraId="32B76370" w14:textId="45B5D652" w:rsidR="00C012DF" w:rsidRPr="00C012DF" w:rsidRDefault="00C012DF" w:rsidP="00C17113">
      <w:pPr>
        <w:ind w:left="-11"/>
        <w:rPr>
          <w:rFonts w:asciiTheme="majorBidi" w:hAnsiTheme="majorBidi" w:cstheme="majorBidi"/>
          <w:b/>
          <w:sz w:val="28"/>
          <w:szCs w:val="28"/>
          <w:lang w:val="en-IE"/>
        </w:rPr>
      </w:pPr>
      <w:r w:rsidRPr="00C012DF">
        <w:rPr>
          <w:rFonts w:asciiTheme="majorBidi" w:hAnsiTheme="majorBidi" w:cstheme="majorBidi"/>
          <w:b/>
          <w:sz w:val="20"/>
          <w:szCs w:val="20"/>
          <w:lang w:val="en-IE"/>
        </w:rPr>
        <w:t>2</w:t>
      </w:r>
      <w:r>
        <w:rPr>
          <w:rFonts w:asciiTheme="majorBidi" w:hAnsiTheme="majorBidi" w:cstheme="majorBidi"/>
          <w:b/>
          <w:sz w:val="28"/>
          <w:szCs w:val="28"/>
          <w:lang w:val="en-IE"/>
        </w:rPr>
        <w:t xml:space="preserve"> </w:t>
      </w:r>
      <w:r w:rsidRPr="00C012DF">
        <w:rPr>
          <w:rFonts w:asciiTheme="majorBidi" w:hAnsiTheme="majorBidi" w:cstheme="majorBidi"/>
          <w:b/>
          <w:sz w:val="28"/>
          <w:szCs w:val="28"/>
          <w:lang w:val="en-IE"/>
        </w:rPr>
        <w:t>Clinical Rsarch Facality NUIGalway.</w:t>
      </w:r>
    </w:p>
    <w:p w14:paraId="48FF0BC3" w14:textId="77777777" w:rsidR="00D5749A" w:rsidRDefault="00D5749A" w:rsidP="00D5749A">
      <w:pPr>
        <w:ind w:hanging="11"/>
        <w:rPr>
          <w:rFonts w:asciiTheme="majorBidi" w:hAnsiTheme="majorBidi" w:cstheme="majorBidi"/>
          <w:b/>
          <w:i/>
          <w:sz w:val="36"/>
          <w:szCs w:val="36"/>
          <w:lang w:val="en-IE"/>
        </w:rPr>
      </w:pPr>
    </w:p>
    <w:p w14:paraId="7B7318AE" w14:textId="77777777" w:rsidR="00D5749A" w:rsidRDefault="00D5749A" w:rsidP="00D5749A">
      <w:pPr>
        <w:jc w:val="both"/>
        <w:rPr>
          <w:rFonts w:asciiTheme="majorBidi" w:hAnsiTheme="majorBidi" w:cstheme="majorBidi"/>
          <w:b/>
          <w:sz w:val="32"/>
          <w:szCs w:val="32"/>
          <w:lang w:val="en-IE"/>
        </w:rPr>
      </w:pPr>
      <w:r w:rsidRPr="009D1CE8">
        <w:rPr>
          <w:rFonts w:asciiTheme="majorBidi" w:hAnsiTheme="majorBidi" w:cstheme="majorBidi"/>
          <w:b/>
          <w:sz w:val="32"/>
          <w:szCs w:val="32"/>
          <w:lang w:val="en-IE"/>
        </w:rPr>
        <w:t>Summary</w:t>
      </w:r>
    </w:p>
    <w:p w14:paraId="0986D5D5" w14:textId="77777777" w:rsidR="004E629E" w:rsidRPr="009D1CE8" w:rsidRDefault="004E629E" w:rsidP="004E629E">
      <w:pPr>
        <w:tabs>
          <w:tab w:val="left" w:pos="0"/>
        </w:tabs>
        <w:jc w:val="both"/>
        <w:rPr>
          <w:rFonts w:asciiTheme="majorBidi" w:hAnsiTheme="majorBidi" w:cstheme="majorBidi"/>
          <w:b/>
          <w:sz w:val="32"/>
          <w:szCs w:val="32"/>
        </w:rPr>
      </w:pPr>
      <w:r w:rsidRPr="009D1CE8">
        <w:rPr>
          <w:rFonts w:asciiTheme="majorBidi" w:hAnsiTheme="majorBidi" w:cstheme="majorBidi"/>
          <w:b/>
          <w:sz w:val="32"/>
          <w:szCs w:val="32"/>
        </w:rPr>
        <w:t>Background</w:t>
      </w:r>
    </w:p>
    <w:p w14:paraId="14C6015B" w14:textId="78BD719C" w:rsidR="00D5749A" w:rsidRPr="000866CD" w:rsidRDefault="004E629E" w:rsidP="00D5749A">
      <w:pPr>
        <w:tabs>
          <w:tab w:val="left" w:pos="0"/>
        </w:tabs>
        <w:jc w:val="both"/>
        <w:rPr>
          <w:rFonts w:asciiTheme="majorBidi" w:hAnsiTheme="majorBidi" w:cstheme="majorBidi"/>
          <w:sz w:val="32"/>
          <w:szCs w:val="32"/>
          <w:lang w:eastAsia="en-IE"/>
        </w:rPr>
      </w:pPr>
      <w:r w:rsidRPr="009D1CE8">
        <w:rPr>
          <w:rFonts w:asciiTheme="majorBidi" w:hAnsiTheme="majorBidi" w:cstheme="majorBidi"/>
          <w:sz w:val="32"/>
          <w:szCs w:val="32"/>
          <w:lang w:eastAsia="en-IE"/>
        </w:rPr>
        <w:t xml:space="preserve">Typically, </w:t>
      </w:r>
      <w:r w:rsidR="00AE1BBA" w:rsidRPr="00EA3DC7">
        <w:rPr>
          <w:rFonts w:asciiTheme="majorBidi" w:hAnsiTheme="majorBidi" w:cstheme="majorBidi"/>
          <w:sz w:val="32"/>
          <w:szCs w:val="32"/>
          <w:lang w:eastAsia="en-IE"/>
        </w:rPr>
        <w:t xml:space="preserve">Quality of life </w:t>
      </w:r>
      <w:r w:rsidR="00AE1BBA">
        <w:rPr>
          <w:rFonts w:asciiTheme="majorBidi" w:hAnsiTheme="majorBidi" w:cstheme="majorBidi"/>
          <w:sz w:val="32"/>
          <w:szCs w:val="32"/>
          <w:lang w:eastAsia="en-IE"/>
        </w:rPr>
        <w:t>(</w:t>
      </w:r>
      <w:proofErr w:type="spellStart"/>
      <w:r w:rsidRPr="009D1CE8">
        <w:rPr>
          <w:rFonts w:asciiTheme="majorBidi" w:hAnsiTheme="majorBidi" w:cstheme="majorBidi"/>
          <w:sz w:val="32"/>
          <w:szCs w:val="32"/>
          <w:lang w:eastAsia="en-IE"/>
        </w:rPr>
        <w:t>QoL</w:t>
      </w:r>
      <w:proofErr w:type="spellEnd"/>
      <w:r w:rsidR="00AE1BBA">
        <w:rPr>
          <w:rFonts w:asciiTheme="majorBidi" w:hAnsiTheme="majorBidi" w:cstheme="majorBidi"/>
          <w:sz w:val="32"/>
          <w:szCs w:val="32"/>
          <w:lang w:eastAsia="en-IE"/>
        </w:rPr>
        <w:t>)</w:t>
      </w:r>
      <w:r w:rsidRPr="009D1CE8">
        <w:rPr>
          <w:rFonts w:asciiTheme="majorBidi" w:hAnsiTheme="majorBidi" w:cstheme="majorBidi"/>
          <w:sz w:val="32"/>
          <w:szCs w:val="32"/>
          <w:lang w:eastAsia="en-IE"/>
        </w:rPr>
        <w:t xml:space="preserve"> assessment tools measures four dimensions in quality of life: functional, psychological, physical and social status. </w:t>
      </w:r>
      <w:proofErr w:type="spellStart"/>
      <w:r w:rsidR="000866CD" w:rsidRPr="009D1CE8">
        <w:rPr>
          <w:rFonts w:asciiTheme="majorBidi" w:hAnsiTheme="majorBidi" w:cstheme="majorBidi"/>
          <w:sz w:val="32"/>
          <w:szCs w:val="32"/>
          <w:lang w:eastAsia="en-IE"/>
        </w:rPr>
        <w:t>QoL</w:t>
      </w:r>
      <w:proofErr w:type="spellEnd"/>
      <w:r w:rsidR="000866CD" w:rsidRPr="00EA3DC7">
        <w:rPr>
          <w:rFonts w:asciiTheme="majorBidi" w:hAnsiTheme="majorBidi" w:cstheme="majorBidi"/>
          <w:sz w:val="32"/>
          <w:szCs w:val="32"/>
          <w:lang w:eastAsia="en-IE"/>
        </w:rPr>
        <w:t xml:space="preserve"> </w:t>
      </w:r>
      <w:r w:rsidRPr="00EA3DC7">
        <w:rPr>
          <w:rFonts w:asciiTheme="majorBidi" w:hAnsiTheme="majorBidi" w:cstheme="majorBidi"/>
          <w:sz w:val="32"/>
          <w:szCs w:val="32"/>
          <w:lang w:eastAsia="en-IE"/>
        </w:rPr>
        <w:t xml:space="preserve">is a dynamic construct. </w:t>
      </w:r>
      <w:r w:rsidRPr="00EA3DC7">
        <w:rPr>
          <w:rFonts w:asciiTheme="majorBidi" w:hAnsiTheme="majorBidi" w:cstheme="majorBidi"/>
          <w:sz w:val="32"/>
          <w:szCs w:val="32"/>
        </w:rPr>
        <w:t>There appears to a process of psychological adaptation that enables patients to cope and maintain good</w:t>
      </w:r>
      <w:r w:rsidR="000866CD" w:rsidRPr="000866CD">
        <w:rPr>
          <w:rFonts w:asciiTheme="majorBidi" w:hAnsiTheme="majorBidi" w:cstheme="majorBidi"/>
          <w:sz w:val="32"/>
          <w:szCs w:val="32"/>
          <w:lang w:eastAsia="en-IE"/>
        </w:rPr>
        <w:t xml:space="preserve"> </w:t>
      </w:r>
      <w:proofErr w:type="spellStart"/>
      <w:r w:rsidR="000866CD" w:rsidRPr="009D1CE8">
        <w:rPr>
          <w:rFonts w:asciiTheme="majorBidi" w:hAnsiTheme="majorBidi" w:cstheme="majorBidi"/>
          <w:sz w:val="32"/>
          <w:szCs w:val="32"/>
          <w:lang w:eastAsia="en-IE"/>
        </w:rPr>
        <w:t>QoL</w:t>
      </w:r>
      <w:proofErr w:type="spellEnd"/>
      <w:r w:rsidRPr="00EA3DC7">
        <w:rPr>
          <w:rFonts w:asciiTheme="majorBidi" w:hAnsiTheme="majorBidi" w:cstheme="majorBidi"/>
          <w:sz w:val="32"/>
          <w:szCs w:val="32"/>
        </w:rPr>
        <w:t>, even in the face of adversity.</w:t>
      </w:r>
      <w:r w:rsidR="00AE1BBA" w:rsidRPr="00AE1BBA">
        <w:rPr>
          <w:rFonts w:asciiTheme="majorBidi" w:hAnsiTheme="majorBidi" w:cstheme="majorBidi"/>
          <w:sz w:val="20"/>
          <w:szCs w:val="20"/>
        </w:rPr>
        <w:t>1</w:t>
      </w:r>
      <w:proofErr w:type="gramStart"/>
      <w:r w:rsidR="001551CA">
        <w:rPr>
          <w:rFonts w:asciiTheme="majorBidi" w:hAnsiTheme="majorBidi" w:cstheme="majorBidi"/>
          <w:sz w:val="20"/>
          <w:szCs w:val="20"/>
        </w:rPr>
        <w:t>,2,3</w:t>
      </w:r>
      <w:proofErr w:type="gramEnd"/>
      <w:r w:rsidRPr="00EA3DC7">
        <w:rPr>
          <w:rFonts w:asciiTheme="majorBidi" w:hAnsiTheme="majorBidi" w:cstheme="majorBidi"/>
          <w:sz w:val="32"/>
          <w:szCs w:val="32"/>
        </w:rPr>
        <w:t xml:space="preserve"> </w:t>
      </w:r>
      <w:r w:rsidR="00AE1BBA">
        <w:rPr>
          <w:rFonts w:asciiTheme="majorBidi" w:hAnsiTheme="majorBidi" w:cstheme="majorBidi"/>
          <w:sz w:val="32"/>
          <w:szCs w:val="32"/>
          <w:lang w:val="en-IE"/>
        </w:rPr>
        <w:t>We h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>a</w:t>
      </w:r>
      <w:r w:rsidR="00AE1BBA">
        <w:rPr>
          <w:rFonts w:asciiTheme="majorBidi" w:hAnsiTheme="majorBidi" w:cstheme="majorBidi"/>
          <w:sz w:val="32"/>
          <w:szCs w:val="32"/>
          <w:lang w:val="en-IE"/>
        </w:rPr>
        <w:t>d a sense that QoL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 xml:space="preserve"> research needed to ‘come alive’, become more relevant in a day-to-day clinical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 xml:space="preserve"> setting in the ‘Acute Hospital’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 xml:space="preserve">. 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 xml:space="preserve">An RCT was set up 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>to use the ‘outcome’ information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 xml:space="preserve"> using the Schedule for Evaluation of Individual QoL (SEIQoL) as a Clinical Tool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 xml:space="preserve">. The Acute Hospital setting tends to focus on objective outcomes, ie, bloods, scans, ect, the many objective outcomes that subsume all a professional’s time. 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>T</w:t>
      </w:r>
      <w:r w:rsidR="00D5749A" w:rsidRPr="009D1CE8">
        <w:rPr>
          <w:rFonts w:asciiTheme="majorBidi" w:hAnsiTheme="majorBidi" w:cstheme="majorBidi"/>
          <w:sz w:val="32"/>
          <w:szCs w:val="32"/>
          <w:lang w:val="en-IE"/>
        </w:rPr>
        <w:t xml:space="preserve">he results were self explanatory. 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Increased awareness</w:t>
      </w:r>
      <w:r w:rsidR="000866CD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 </w:t>
      </w:r>
      <w:r w:rsidR="000866CD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by the clinician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 of patient’s perception of symptom bother and symptom interference (48% difference</w:t>
      </w:r>
      <w:r w:rsidR="000866CD">
        <w:rPr>
          <w:rFonts w:asciiTheme="majorBidi" w:hAnsiTheme="majorBidi" w:cstheme="majorBidi"/>
          <w:bCs/>
          <w:sz w:val="32"/>
          <w:szCs w:val="32"/>
          <w:lang w:eastAsia="en-IE"/>
        </w:rPr>
        <w:t>, active versus control group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) with </w:t>
      </w:r>
      <w:proofErr w:type="spellStart"/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S</w:t>
      </w:r>
      <w:r>
        <w:rPr>
          <w:rFonts w:asciiTheme="majorBidi" w:hAnsiTheme="majorBidi" w:cstheme="majorBidi"/>
          <w:bCs/>
          <w:sz w:val="32"/>
          <w:szCs w:val="32"/>
          <w:lang w:eastAsia="en-IE"/>
        </w:rPr>
        <w:t>EI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QoL</w:t>
      </w:r>
      <w:proofErr w:type="spellEnd"/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 </w:t>
      </w:r>
      <w:r w:rsidR="000866CD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could 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signif</w:t>
      </w:r>
      <w:r w:rsidR="000866CD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icantly decrease symptom burden </w:t>
      </w:r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over time. Incorporation of patient’s views could be graphically incorporated into patient charts akin to a Temperature/Pulse/Respiratory Rate (TPR) chart to aid an improved outcome of symptoms and their bother as well as interference on </w:t>
      </w:r>
      <w:r w:rsidR="000866CD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patient’s </w:t>
      </w:r>
      <w:proofErr w:type="spellStart"/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>QoL</w:t>
      </w:r>
      <w:proofErr w:type="spellEnd"/>
      <w:r w:rsidR="00D5749A" w:rsidRPr="009D1CE8">
        <w:rPr>
          <w:rFonts w:asciiTheme="majorBidi" w:hAnsiTheme="majorBidi" w:cstheme="majorBidi"/>
          <w:bCs/>
          <w:sz w:val="32"/>
          <w:szCs w:val="32"/>
          <w:lang w:eastAsia="en-IE"/>
        </w:rPr>
        <w:t xml:space="preserve"> </w:t>
      </w:r>
    </w:p>
    <w:p w14:paraId="0B2EC3A6" w14:textId="77777777" w:rsidR="00D5749A" w:rsidRPr="009D1CE8" w:rsidRDefault="00D5749A" w:rsidP="00D5749A">
      <w:pPr>
        <w:tabs>
          <w:tab w:val="left" w:pos="0"/>
        </w:tabs>
        <w:jc w:val="both"/>
        <w:rPr>
          <w:rFonts w:asciiTheme="majorBidi" w:hAnsiTheme="majorBidi" w:cstheme="majorBidi"/>
          <w:sz w:val="32"/>
          <w:szCs w:val="32"/>
          <w:lang w:val="en-IE"/>
        </w:rPr>
      </w:pPr>
      <w:r w:rsidRPr="009D1CE8">
        <w:rPr>
          <w:rFonts w:asciiTheme="majorBidi" w:hAnsiTheme="majorBidi" w:cstheme="majorBidi"/>
          <w:sz w:val="32"/>
          <w:szCs w:val="32"/>
          <w:lang w:val="en-IE"/>
        </w:rPr>
        <w:t>The engagem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 xml:space="preserve">ent of staff was excellent, 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each patient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>’s QoL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 xml:space="preserve"> came alive, created forum for debate and a new way to empower us all to focus on the patient’s view of their symptoms, the bother of their symptoms, how those symptoms interfered with their</w:t>
      </w:r>
      <w:r w:rsidR="000866CD">
        <w:rPr>
          <w:rFonts w:asciiTheme="majorBidi" w:hAnsiTheme="majorBidi" w:cstheme="majorBidi"/>
          <w:sz w:val="32"/>
          <w:szCs w:val="32"/>
          <w:lang w:val="en-IE"/>
        </w:rPr>
        <w:t xml:space="preserve"> QoL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. In a way, it ‘gave permission’ to focus on what really mattered to our patient group!</w:t>
      </w:r>
    </w:p>
    <w:p w14:paraId="1C1464A4" w14:textId="77777777" w:rsidR="00D5749A" w:rsidRPr="009D1CE8" w:rsidRDefault="00D5749A" w:rsidP="00D5749A">
      <w:pPr>
        <w:tabs>
          <w:tab w:val="left" w:pos="0"/>
        </w:tabs>
        <w:jc w:val="both"/>
        <w:rPr>
          <w:rFonts w:asciiTheme="majorBidi" w:hAnsiTheme="majorBidi" w:cstheme="majorBidi"/>
          <w:b/>
          <w:sz w:val="32"/>
          <w:szCs w:val="32"/>
        </w:rPr>
      </w:pPr>
    </w:p>
    <w:p w14:paraId="556596EF" w14:textId="77777777" w:rsidR="00D5749A" w:rsidRDefault="00D5749A" w:rsidP="00D5749A">
      <w:pPr>
        <w:widowControl w:val="0"/>
        <w:autoSpaceDE w:val="0"/>
        <w:autoSpaceDN w:val="0"/>
        <w:adjustRightInd w:val="0"/>
        <w:rPr>
          <w:b/>
          <w:sz w:val="36"/>
          <w:szCs w:val="36"/>
          <w:u w:val="single"/>
        </w:rPr>
      </w:pPr>
    </w:p>
    <w:p w14:paraId="355C20DF" w14:textId="09AAB849" w:rsidR="00D5749A" w:rsidRDefault="004E629E" w:rsidP="00D5749A">
      <w:pPr>
        <w:widowControl w:val="0"/>
        <w:autoSpaceDE w:val="0"/>
        <w:autoSpaceDN w:val="0"/>
        <w:adjustRightInd w:val="0"/>
        <w:rPr>
          <w:color w:val="000000"/>
          <w:sz w:val="32"/>
          <w:szCs w:val="32"/>
          <w:lang w:eastAsia="ja-JP"/>
        </w:rPr>
      </w:pPr>
      <w:r w:rsidRPr="009D1CE8">
        <w:rPr>
          <w:rFonts w:asciiTheme="majorBidi" w:hAnsiTheme="majorBidi" w:cstheme="majorBidi"/>
          <w:sz w:val="32"/>
          <w:szCs w:val="32"/>
          <w:lang w:val="en-IE"/>
        </w:rPr>
        <w:t xml:space="preserve">The Author has 20 years of experience in the area of Subjective Quality of Life </w:t>
      </w:r>
      <w:r w:rsidR="00B36F38">
        <w:rPr>
          <w:rFonts w:asciiTheme="majorBidi" w:hAnsiTheme="majorBidi" w:cstheme="majorBidi"/>
          <w:sz w:val="32"/>
          <w:szCs w:val="32"/>
          <w:lang w:val="en-IE"/>
        </w:rPr>
        <w:t xml:space="preserve">measurement using 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(S</w:t>
      </w:r>
      <w:r w:rsidR="00B36F38">
        <w:rPr>
          <w:rFonts w:asciiTheme="majorBidi" w:hAnsiTheme="majorBidi" w:cstheme="majorBidi"/>
          <w:sz w:val="32"/>
          <w:szCs w:val="32"/>
          <w:lang w:val="en-IE"/>
        </w:rPr>
        <w:t>EI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 xml:space="preserve">QoL) </w:t>
      </w:r>
      <w:r>
        <w:rPr>
          <w:rFonts w:asciiTheme="majorBidi" w:hAnsiTheme="majorBidi" w:cstheme="majorBidi"/>
          <w:sz w:val="32"/>
          <w:szCs w:val="32"/>
          <w:lang w:val="en-IE"/>
        </w:rPr>
        <w:t xml:space="preserve">and Symptom Burden 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measurement, with the first S</w:t>
      </w:r>
      <w:r w:rsidR="00B36F38">
        <w:rPr>
          <w:rFonts w:asciiTheme="majorBidi" w:hAnsiTheme="majorBidi" w:cstheme="majorBidi"/>
          <w:sz w:val="32"/>
          <w:szCs w:val="32"/>
          <w:lang w:val="en-IE"/>
        </w:rPr>
        <w:t>EI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QoL measurement in a Palliative Care patient population, published in the Journal of Clinical Oncology, and 8 further research studies towards Higher</w:t>
      </w:r>
      <w:r>
        <w:rPr>
          <w:rFonts w:asciiTheme="majorBidi" w:hAnsiTheme="majorBidi" w:cstheme="majorBidi"/>
          <w:sz w:val="32"/>
          <w:szCs w:val="32"/>
          <w:lang w:val="en-IE"/>
        </w:rPr>
        <w:t xml:space="preserve"> Degrees. Our Department has 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empowered a Special Study Module for our F</w:t>
      </w:r>
      <w:r>
        <w:rPr>
          <w:rFonts w:asciiTheme="majorBidi" w:hAnsiTheme="majorBidi" w:cstheme="majorBidi"/>
          <w:sz w:val="32"/>
          <w:szCs w:val="32"/>
          <w:lang w:val="en-IE"/>
        </w:rPr>
        <w:t xml:space="preserve">irst Medical Students for a decade 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>now, entitled ‘Introducing the Medical Student to the person not the patient’. We were the first to measure ‘Response Shift’ in S</w:t>
      </w:r>
      <w:r w:rsidR="00C17113">
        <w:rPr>
          <w:rFonts w:asciiTheme="majorBidi" w:hAnsiTheme="majorBidi" w:cstheme="majorBidi"/>
          <w:sz w:val="32"/>
          <w:szCs w:val="32"/>
          <w:lang w:val="en-IE"/>
        </w:rPr>
        <w:t>EI</w:t>
      </w:r>
      <w:r w:rsidRPr="009D1CE8">
        <w:rPr>
          <w:rFonts w:asciiTheme="majorBidi" w:hAnsiTheme="majorBidi" w:cstheme="majorBidi"/>
          <w:sz w:val="32"/>
          <w:szCs w:val="32"/>
          <w:lang w:val="en-IE"/>
        </w:rPr>
        <w:t xml:space="preserve">QoL, the groups being Patients with Prostate and Lung Cancer. </w:t>
      </w:r>
    </w:p>
    <w:p w14:paraId="467F4E45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>Waldron D, O’Boyle CA, Kearney M, Moriarty M, Carney D. Quality-of-life</w:t>
      </w:r>
    </w:p>
    <w:p w14:paraId="1CEA92BF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proofErr w:type="gramStart"/>
      <w:r>
        <w:rPr>
          <w:lang w:eastAsia="ja-JP"/>
        </w:rPr>
        <w:t>measurement</w:t>
      </w:r>
      <w:proofErr w:type="gramEnd"/>
      <w:r>
        <w:rPr>
          <w:lang w:eastAsia="ja-JP"/>
        </w:rPr>
        <w:t xml:space="preserve"> in advanced cancer: assessing the individual. Journal of Clinical</w:t>
      </w:r>
    </w:p>
    <w:p w14:paraId="6E0C6F84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>Oncology. 1999</w:t>
      </w:r>
      <w:proofErr w:type="gramStart"/>
      <w:r>
        <w:rPr>
          <w:lang w:eastAsia="ja-JP"/>
        </w:rPr>
        <w:t>;17</w:t>
      </w:r>
      <w:proofErr w:type="gramEnd"/>
      <w:r>
        <w:rPr>
          <w:lang w:eastAsia="ja-JP"/>
        </w:rPr>
        <w:t>(11):3603–3611.</w:t>
      </w:r>
    </w:p>
    <w:p w14:paraId="6E1F1BC1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 xml:space="preserve">Eileen M. </w:t>
      </w:r>
      <w:proofErr w:type="spellStart"/>
      <w:r>
        <w:rPr>
          <w:lang w:eastAsia="ja-JP"/>
        </w:rPr>
        <w:t>Mannion</w:t>
      </w:r>
      <w:proofErr w:type="spellEnd"/>
      <w:r>
        <w:rPr>
          <w:lang w:eastAsia="ja-JP"/>
        </w:rPr>
        <w:t xml:space="preserve"> D. Waldron, </w:t>
      </w:r>
      <w:proofErr w:type="spellStart"/>
      <w:r>
        <w:rPr>
          <w:lang w:eastAsia="ja-JP"/>
        </w:rPr>
        <w:t>Tanweer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T.A.Azher</w:t>
      </w:r>
      <w:proofErr w:type="spellEnd"/>
      <w:r>
        <w:rPr>
          <w:lang w:eastAsia="ja-JP"/>
        </w:rPr>
        <w:t xml:space="preserve">, J.J. </w:t>
      </w:r>
      <w:proofErr w:type="spellStart"/>
      <w:r>
        <w:rPr>
          <w:lang w:eastAsia="ja-JP"/>
        </w:rPr>
        <w:t>Gilmartin</w:t>
      </w:r>
      <w:proofErr w:type="spellEnd"/>
      <w:r>
        <w:rPr>
          <w:lang w:eastAsia="ja-JP"/>
        </w:rPr>
        <w:t>. Can subjective</w:t>
      </w:r>
    </w:p>
    <w:p w14:paraId="3A789E3E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proofErr w:type="gramStart"/>
      <w:r>
        <w:rPr>
          <w:lang w:eastAsia="ja-JP"/>
        </w:rPr>
        <w:t>quality</w:t>
      </w:r>
      <w:proofErr w:type="gramEnd"/>
      <w:r>
        <w:rPr>
          <w:lang w:eastAsia="ja-JP"/>
        </w:rPr>
        <w:t xml:space="preserve"> of life be measured in a population of patients with lung cancer? Science</w:t>
      </w:r>
    </w:p>
    <w:p w14:paraId="2A65E0E2" w14:textId="405B965A" w:rsidR="00D5749A" w:rsidRDefault="00961BA4" w:rsidP="00961BA4">
      <w:pPr>
        <w:rPr>
          <w:lang w:eastAsia="ja-JP"/>
        </w:rPr>
      </w:pPr>
      <w:r>
        <w:rPr>
          <w:lang w:eastAsia="ja-JP"/>
        </w:rPr>
        <w:t>Direct. 2003</w:t>
      </w:r>
      <w:proofErr w:type="gramStart"/>
      <w:r>
        <w:rPr>
          <w:lang w:eastAsia="ja-JP"/>
        </w:rPr>
        <w:t>;25</w:t>
      </w:r>
      <w:proofErr w:type="gramEnd"/>
      <w:r>
        <w:rPr>
          <w:lang w:eastAsia="ja-JP"/>
        </w:rPr>
        <w:t>(25):D44–D45.</w:t>
      </w:r>
    </w:p>
    <w:p w14:paraId="4078340B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>Prospective versus retrospective assessment of lower urinary tract symptoms in</w:t>
      </w:r>
    </w:p>
    <w:p w14:paraId="5E714DBB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proofErr w:type="gramStart"/>
      <w:r>
        <w:rPr>
          <w:lang w:eastAsia="ja-JP"/>
        </w:rPr>
        <w:t>patients</w:t>
      </w:r>
      <w:proofErr w:type="gramEnd"/>
      <w:r>
        <w:rPr>
          <w:lang w:eastAsia="ja-JP"/>
        </w:rPr>
        <w:t xml:space="preserve"> with advanced prostate cancer – the effect of ‘response shift’ Rees J, Clarke</w:t>
      </w:r>
    </w:p>
    <w:p w14:paraId="3BBFE091" w14:textId="77777777" w:rsidR="00961BA4" w:rsidRDefault="00961BA4" w:rsidP="00961BA4">
      <w:pPr>
        <w:widowControl w:val="0"/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 xml:space="preserve">MG, Waldron D, O Boyle C, </w:t>
      </w:r>
      <w:proofErr w:type="spellStart"/>
      <w:r>
        <w:rPr>
          <w:lang w:eastAsia="ja-JP"/>
        </w:rPr>
        <w:t>Ewings</w:t>
      </w:r>
      <w:proofErr w:type="spellEnd"/>
      <w:r>
        <w:rPr>
          <w:lang w:eastAsia="ja-JP"/>
        </w:rPr>
        <w:t xml:space="preserve"> P, </w:t>
      </w:r>
      <w:proofErr w:type="spellStart"/>
      <w:r>
        <w:rPr>
          <w:lang w:eastAsia="ja-JP"/>
        </w:rPr>
        <w:t>MacDonagh</w:t>
      </w:r>
      <w:proofErr w:type="spellEnd"/>
      <w:r>
        <w:rPr>
          <w:lang w:eastAsia="ja-JP"/>
        </w:rPr>
        <w:t xml:space="preserve"> RP, British J of Urology </w:t>
      </w:r>
      <w:proofErr w:type="spellStart"/>
      <w:r>
        <w:rPr>
          <w:lang w:eastAsia="ja-JP"/>
        </w:rPr>
        <w:t>Int</w:t>
      </w:r>
      <w:proofErr w:type="spellEnd"/>
      <w:r>
        <w:rPr>
          <w:lang w:eastAsia="ja-JP"/>
        </w:rPr>
        <w:t>,</w:t>
      </w:r>
    </w:p>
    <w:p w14:paraId="6B400766" w14:textId="4B16E827" w:rsidR="00961BA4" w:rsidRDefault="00961BA4" w:rsidP="00961BA4">
      <w:pPr>
        <w:rPr>
          <w:sz w:val="32"/>
          <w:szCs w:val="32"/>
        </w:rPr>
      </w:pPr>
      <w:r>
        <w:rPr>
          <w:lang w:eastAsia="ja-JP"/>
        </w:rPr>
        <w:t>Nov 1, 2003</w:t>
      </w:r>
    </w:p>
    <w:p w14:paraId="56C8F128" w14:textId="77777777" w:rsidR="00C17113" w:rsidRDefault="00C17113" w:rsidP="00D5749A">
      <w:pPr>
        <w:rPr>
          <w:sz w:val="32"/>
          <w:szCs w:val="32"/>
        </w:rPr>
      </w:pPr>
    </w:p>
    <w:p w14:paraId="2170F7B9" w14:textId="4EEC07DB" w:rsidR="000348DC" w:rsidRDefault="00C17113">
      <w:bookmarkStart w:id="0" w:name="_GoBack"/>
      <w:bookmarkEnd w:id="0"/>
      <w:r>
        <w:rPr>
          <w:noProof/>
        </w:rPr>
        <w:drawing>
          <wp:inline distT="0" distB="0" distL="0" distR="0" wp14:anchorId="4FF63E7D" wp14:editId="0418D07E">
            <wp:extent cx="1862782" cy="27941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Dymp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3456" cy="279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BDDE1" w14:textId="77777777" w:rsidR="00C012DF" w:rsidRDefault="00C012DF"/>
    <w:p w14:paraId="52ABF5A0" w14:textId="18D9C19C" w:rsidR="00C012DF" w:rsidRDefault="00C012DF">
      <w:r>
        <w:t xml:space="preserve">Prof </w:t>
      </w:r>
      <w:proofErr w:type="spellStart"/>
      <w:r>
        <w:t>Dympna</w:t>
      </w:r>
      <w:proofErr w:type="spellEnd"/>
      <w:r>
        <w:t xml:space="preserve"> Waldron MD FRCPI</w:t>
      </w:r>
    </w:p>
    <w:p w14:paraId="29FAE2C1" w14:textId="18E301BC" w:rsidR="00C012DF" w:rsidRDefault="00C012DF">
      <w:r>
        <w:t>087 6889768</w:t>
      </w:r>
    </w:p>
    <w:p w14:paraId="74E539B0" w14:textId="6F5A9875" w:rsidR="00C012DF" w:rsidRDefault="00C012DF">
      <w:r>
        <w:t>Geriatric Palliative Care</w:t>
      </w:r>
    </w:p>
    <w:p w14:paraId="57C6593F" w14:textId="31002898" w:rsidR="00C012DF" w:rsidRDefault="00C012DF">
      <w:r>
        <w:t>Oral</w:t>
      </w:r>
    </w:p>
    <w:p w14:paraId="0197A0CA" w14:textId="6E22266F" w:rsidR="00C012DF" w:rsidRDefault="00C012DF">
      <w:r>
        <w:t>Passport no: PT4816218</w:t>
      </w:r>
    </w:p>
    <w:sectPr w:rsidR="00C012DF" w:rsidSect="004026D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9A"/>
    <w:rsid w:val="000348DC"/>
    <w:rsid w:val="000866CD"/>
    <w:rsid w:val="001551CA"/>
    <w:rsid w:val="004026DA"/>
    <w:rsid w:val="004E629E"/>
    <w:rsid w:val="005129B0"/>
    <w:rsid w:val="00961BA4"/>
    <w:rsid w:val="00AE1BBA"/>
    <w:rsid w:val="00B36F38"/>
    <w:rsid w:val="00C012DF"/>
    <w:rsid w:val="00C17113"/>
    <w:rsid w:val="00D5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DD669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49A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D5749A"/>
    <w:pPr>
      <w:spacing w:before="120"/>
      <w:outlineLvl w:val="1"/>
    </w:pPr>
    <w:rPr>
      <w:rFonts w:ascii="Helvetica" w:eastAsia="Times New Roman" w:hAnsi="Helvetica" w:cs="New York"/>
      <w:b/>
      <w:bCs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749A"/>
    <w:rPr>
      <w:rFonts w:ascii="Helvetica" w:eastAsia="Times New Roman" w:hAnsi="Helvetica" w:cs="New York"/>
      <w:b/>
      <w:bCs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D5749A"/>
    <w:pPr>
      <w:spacing w:before="100" w:beforeAutospacing="1" w:after="100" w:afterAutospacing="1"/>
    </w:pPr>
    <w:rPr>
      <w:rFonts w:eastAsia="Times New Roman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1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113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49A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D5749A"/>
    <w:pPr>
      <w:spacing w:before="120"/>
      <w:outlineLvl w:val="1"/>
    </w:pPr>
    <w:rPr>
      <w:rFonts w:ascii="Helvetica" w:eastAsia="Times New Roman" w:hAnsi="Helvetica" w:cs="New York"/>
      <w:b/>
      <w:bCs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749A"/>
    <w:rPr>
      <w:rFonts w:ascii="Helvetica" w:eastAsia="Times New Roman" w:hAnsi="Helvetica" w:cs="New York"/>
      <w:b/>
      <w:bCs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D5749A"/>
    <w:pPr>
      <w:spacing w:before="100" w:beforeAutospacing="1" w:after="100" w:afterAutospacing="1"/>
    </w:pPr>
    <w:rPr>
      <w:rFonts w:eastAsia="Times New Roman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1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113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2737</Characters>
  <Application>Microsoft Macintosh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2018-09-21T16:32:00Z</dcterms:created>
  <dcterms:modified xsi:type="dcterms:W3CDTF">2018-09-21T16:32:00Z</dcterms:modified>
</cp:coreProperties>
</file>