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BBC" w:rsidRDefault="008D088A" w:rsidP="008D088A">
      <w:pPr>
        <w:pStyle w:val="Plattetekst"/>
        <w:rPr>
          <w:sz w:val="20"/>
        </w:rPr>
      </w:pPr>
      <w:r>
        <w:rPr>
          <w:noProof/>
          <w:sz w:val="20"/>
          <w:lang w:val="nl-NL" w:eastAsia="nl-NL"/>
        </w:rPr>
        <w:drawing>
          <wp:inline distT="0" distB="0" distL="0" distR="0" wp14:anchorId="7D36441A" wp14:editId="25DF9AB3">
            <wp:extent cx="7410615" cy="906448"/>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IATRICS 201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36778" cy="921880"/>
                    </a:xfrm>
                    <a:prstGeom prst="rect">
                      <a:avLst/>
                    </a:prstGeom>
                  </pic:spPr>
                </pic:pic>
              </a:graphicData>
            </a:graphic>
          </wp:inline>
        </w:drawing>
      </w:r>
    </w:p>
    <w:p w:rsidR="00464BBC" w:rsidRDefault="00464BBC">
      <w:pPr>
        <w:pStyle w:val="Plattetekst"/>
        <w:spacing w:before="5"/>
        <w:rPr>
          <w:sz w:val="10"/>
        </w:rPr>
      </w:pPr>
    </w:p>
    <w:p w:rsidR="00464BBC" w:rsidRDefault="008D088A">
      <w:pPr>
        <w:pStyle w:val="Kop1"/>
        <w:ind w:left="1105" w:right="1062"/>
        <w:jc w:val="center"/>
      </w:pPr>
      <w:r>
        <w:rPr>
          <w:noProof/>
          <w:lang w:val="nl-NL" w:eastAsia="nl-NL"/>
        </w:rPr>
        <mc:AlternateContent>
          <mc:Choice Requires="wps">
            <w:drawing>
              <wp:anchor distT="0" distB="0" distL="0" distR="0" simplePos="0" relativeHeight="251657728" behindDoc="0" locked="0" layoutInCell="1" allowOverlap="1" wp14:anchorId="0F8A688E" wp14:editId="4BD9B892">
                <wp:simplePos x="0" y="0"/>
                <wp:positionH relativeFrom="page">
                  <wp:posOffset>7620</wp:posOffset>
                </wp:positionH>
                <wp:positionV relativeFrom="paragraph">
                  <wp:posOffset>51435</wp:posOffset>
                </wp:positionV>
                <wp:extent cx="7537450" cy="0"/>
                <wp:effectExtent l="0" t="0" r="2540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3745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86157"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pt,4.05pt" to="594.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" strokecolor="#5a5a5a" strokeweight="2pt">
                <w10:wrap type="topAndBottom" anchorx="page"/>
              </v:line>
            </w:pict>
          </mc:Fallback>
        </mc:AlternateContent>
      </w:r>
      <w:r w:rsidR="006D0298">
        <w:rPr>
          <w:color w:val="585858"/>
          <w:u w:val="thick" w:color="585858"/>
        </w:rPr>
        <w:t>Abstract Template</w:t>
      </w:r>
    </w:p>
    <w:p w:rsidR="00464BBC" w:rsidRDefault="00464BBC">
      <w:pPr>
        <w:pStyle w:val="Plattetekst"/>
        <w:rPr>
          <w:b/>
          <w:sz w:val="14"/>
        </w:rPr>
      </w:pPr>
    </w:p>
    <w:p w:rsidR="00464BBC" w:rsidRDefault="006D0298">
      <w:pPr>
        <w:spacing w:before="92"/>
        <w:ind w:left="594" w:right="151"/>
        <w:rPr>
          <w:b/>
        </w:rPr>
      </w:pPr>
      <w:r>
        <w:rPr>
          <w:b/>
          <w:color w:val="585858"/>
        </w:rPr>
        <w:t xml:space="preserve">Title: </w:t>
      </w:r>
      <w:r w:rsidR="00134327">
        <w:rPr>
          <w:b/>
          <w:color w:val="585858"/>
        </w:rPr>
        <w:t>Prescription behavior regarding antibiotics for respiratory infections in nursing homes in Zeeland; evidence based or value based?</w:t>
      </w:r>
    </w:p>
    <w:p w:rsidR="00464BBC" w:rsidRDefault="00521DE3">
      <w:pPr>
        <w:pStyle w:val="Kop3"/>
        <w:spacing w:line="214" w:lineRule="exact"/>
        <w:ind w:left="594" w:firstLine="0"/>
      </w:pPr>
      <w:r>
        <w:rPr>
          <w:color w:val="585858"/>
        </w:rPr>
        <w:t>Lorier  W</w:t>
      </w:r>
      <w:r w:rsidR="006D0298">
        <w:rPr>
          <w:color w:val="585858"/>
          <w:position w:val="9"/>
          <w:sz w:val="12"/>
        </w:rPr>
        <w:t>1</w:t>
      </w:r>
      <w:r w:rsidR="006D0298">
        <w:rPr>
          <w:color w:val="585858"/>
        </w:rPr>
        <w:t xml:space="preserve">  </w:t>
      </w:r>
    </w:p>
    <w:p w:rsidR="00464BBC" w:rsidRDefault="006D0298">
      <w:pPr>
        <w:pStyle w:val="Plattetekst"/>
        <w:spacing w:before="126" w:line="231" w:lineRule="exact"/>
        <w:ind w:left="594"/>
      </w:pPr>
      <w:r>
        <w:rPr>
          <w:color w:val="585858"/>
          <w:position w:val="9"/>
          <w:sz w:val="12"/>
        </w:rPr>
        <w:t>1</w:t>
      </w:r>
      <w:r w:rsidR="00521DE3">
        <w:rPr>
          <w:color w:val="585858"/>
        </w:rPr>
        <w:t>Department of longterm care, Stichting Voor Regionale Zorgverlening, Zeeland</w:t>
      </w:r>
      <w:r>
        <w:rPr>
          <w:color w:val="585858"/>
        </w:rPr>
        <w:t xml:space="preserve">, </w:t>
      </w:r>
      <w:r w:rsidR="00521DE3">
        <w:rPr>
          <w:color w:val="585858"/>
        </w:rPr>
        <w:t>The Netherlands</w:t>
      </w:r>
    </w:p>
    <w:p w:rsidR="00464BBC" w:rsidRDefault="00464BBC">
      <w:pPr>
        <w:pStyle w:val="Plattetekst"/>
        <w:spacing w:line="231" w:lineRule="exact"/>
        <w:ind w:left="594"/>
      </w:pPr>
    </w:p>
    <w:p w:rsidR="00464BBC" w:rsidRDefault="00464BBC">
      <w:pPr>
        <w:pStyle w:val="Plattetekst"/>
        <w:spacing w:before="9"/>
      </w:pPr>
    </w:p>
    <w:p w:rsidR="00464BBC" w:rsidRDefault="00464BBC">
      <w:pPr>
        <w:sectPr w:rsidR="00464BBC">
          <w:type w:val="continuous"/>
          <w:pgSz w:w="11910" w:h="16840"/>
          <w:pgMar w:top="600" w:right="180" w:bottom="280" w:left="140" w:header="720" w:footer="720" w:gutter="0"/>
          <w:cols w:space="720"/>
        </w:sectPr>
      </w:pPr>
    </w:p>
    <w:p w:rsidR="00464BBC" w:rsidRDefault="00521DE3">
      <w:pPr>
        <w:pStyle w:val="Kop3"/>
        <w:spacing w:before="114"/>
        <w:ind w:left="426" w:right="9" w:firstLine="0"/>
        <w:jc w:val="both"/>
      </w:pPr>
      <w:r>
        <w:rPr>
          <w:color w:val="585858"/>
        </w:rPr>
        <w:t>Keywords: Antibiotics, Nursing Homes, Respiratory infections</w:t>
      </w:r>
      <w:r w:rsidR="006D0298">
        <w:rPr>
          <w:color w:val="585858"/>
        </w:rPr>
        <w:t xml:space="preserve">, </w:t>
      </w:r>
      <w:r w:rsidR="00F66CCA">
        <w:rPr>
          <w:color w:val="585858"/>
        </w:rPr>
        <w:t>primary guideline ‘acute coughing’.</w:t>
      </w:r>
    </w:p>
    <w:p w:rsidR="00464BBC" w:rsidRDefault="00464BBC">
      <w:pPr>
        <w:pStyle w:val="Plattetekst"/>
        <w:rPr>
          <w:b/>
          <w:sz w:val="20"/>
        </w:rPr>
      </w:pPr>
    </w:p>
    <w:p w:rsidR="00464BBC" w:rsidRDefault="00464BBC">
      <w:pPr>
        <w:pStyle w:val="Plattetekst"/>
        <w:spacing w:before="10"/>
        <w:rPr>
          <w:b/>
        </w:rPr>
      </w:pPr>
    </w:p>
    <w:p w:rsidR="00464BBC" w:rsidRDefault="006D0298">
      <w:pPr>
        <w:pStyle w:val="Lijstalinea"/>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AC0F7E" w:rsidRPr="00AC0F7E" w:rsidRDefault="00AC0F7E" w:rsidP="00AC0F7E">
      <w:pPr>
        <w:pStyle w:val="Geenafstand"/>
        <w:ind w:left="1419"/>
        <w:rPr>
          <w:rFonts w:ascii="Times New Roman" w:hAnsi="Times New Roman" w:cs="Times New Roman"/>
          <w:sz w:val="19"/>
          <w:szCs w:val="19"/>
          <w:lang w:val="en-GB"/>
        </w:rPr>
      </w:pPr>
      <w:r w:rsidRPr="00AC0F7E">
        <w:rPr>
          <w:rFonts w:ascii="Times New Roman" w:hAnsi="Times New Roman" w:cs="Times New Roman"/>
          <w:i/>
          <w:iCs/>
          <w:sz w:val="19"/>
          <w:szCs w:val="19"/>
          <w:lang w:val="en-GB"/>
        </w:rPr>
        <w:t xml:space="preserve">Aim: </w:t>
      </w:r>
      <w:r w:rsidRPr="00AC0F7E">
        <w:rPr>
          <w:rFonts w:ascii="Times New Roman" w:hAnsi="Times New Roman" w:cs="Times New Roman"/>
          <w:sz w:val="19"/>
          <w:szCs w:val="19"/>
          <w:lang w:val="en-GB"/>
        </w:rPr>
        <w:t xml:space="preserve">Gaining insight into the prescription behaviour of healthcare professionals who  work in nursing homes of SVRZ in Zeeland, regarding the prescription of antibiotics for respiratory infections. </w:t>
      </w:r>
      <w:r w:rsidRPr="00AC0F7E">
        <w:rPr>
          <w:rFonts w:ascii="Times New Roman" w:hAnsi="Times New Roman" w:cs="Times New Roman"/>
          <w:sz w:val="19"/>
          <w:szCs w:val="19"/>
          <w:lang w:val="en-GB"/>
        </w:rPr>
        <w:br/>
      </w:r>
      <w:r w:rsidRPr="00AC0F7E">
        <w:rPr>
          <w:rFonts w:ascii="Times New Roman" w:hAnsi="Times New Roman" w:cs="Times New Roman"/>
          <w:i/>
          <w:iCs/>
          <w:sz w:val="19"/>
          <w:szCs w:val="19"/>
          <w:lang w:val="en-GB"/>
        </w:rPr>
        <w:t>Background:</w:t>
      </w:r>
      <w:r w:rsidRPr="00AC0F7E">
        <w:rPr>
          <w:rFonts w:ascii="Times New Roman" w:hAnsi="Times New Roman" w:cs="Times New Roman"/>
          <w:sz w:val="19"/>
          <w:szCs w:val="19"/>
          <w:lang w:val="en-GB"/>
        </w:rPr>
        <w:t xml:space="preserve"> These days, pneumonia is the number two most common infectious disease in nursing homes in the Netherlands, after urinary tract infections, and is associated with high numbers of mortality and morbidity.</w:t>
      </w:r>
      <w:r w:rsidRPr="00AC0F7E">
        <w:rPr>
          <w:rFonts w:ascii="Times New Roman" w:hAnsi="Times New Roman" w:cs="Times New Roman"/>
          <w:sz w:val="19"/>
          <w:szCs w:val="19"/>
          <w:lang w:val="en-GB"/>
        </w:rPr>
        <w:br/>
      </w:r>
      <w:r w:rsidRPr="00AC0F7E">
        <w:rPr>
          <w:rFonts w:ascii="Times New Roman" w:hAnsi="Times New Roman" w:cs="Times New Roman"/>
          <w:i/>
          <w:iCs/>
          <w:sz w:val="19"/>
          <w:szCs w:val="19"/>
          <w:lang w:val="en-GB"/>
        </w:rPr>
        <w:t xml:space="preserve">Design: </w:t>
      </w:r>
      <w:r w:rsidRPr="00AC0F7E">
        <w:rPr>
          <w:rFonts w:ascii="Times New Roman" w:hAnsi="Times New Roman" w:cs="Times New Roman"/>
          <w:sz w:val="19"/>
          <w:szCs w:val="19"/>
          <w:lang w:val="en-GB"/>
        </w:rPr>
        <w:t xml:space="preserve">A mixed method design was used comprising a retrospective file research and a focus group. The antibiotics recipes prescribed from September 2016 to September 2017, where mapped from the files. After that, a focus group consisting of eight healthcare professionals reflected on the possibilities of adjusting prescription policy . </w:t>
      </w:r>
      <w:r w:rsidRPr="00AC0F7E">
        <w:rPr>
          <w:rFonts w:ascii="Times New Roman" w:hAnsi="Times New Roman" w:cs="Times New Roman"/>
          <w:sz w:val="19"/>
          <w:szCs w:val="19"/>
          <w:lang w:val="en-GB"/>
        </w:rPr>
        <w:br/>
      </w:r>
      <w:r w:rsidRPr="00AC0F7E">
        <w:rPr>
          <w:rFonts w:ascii="Times New Roman" w:hAnsi="Times New Roman" w:cs="Times New Roman"/>
          <w:i/>
          <w:iCs/>
          <w:sz w:val="19"/>
          <w:szCs w:val="19"/>
          <w:lang w:val="en-GB"/>
        </w:rPr>
        <w:t>Results:</w:t>
      </w:r>
      <w:r w:rsidRPr="00AC0F7E">
        <w:rPr>
          <w:rFonts w:ascii="Times New Roman" w:hAnsi="Times New Roman" w:cs="Times New Roman"/>
          <w:sz w:val="19"/>
          <w:szCs w:val="19"/>
          <w:lang w:val="en-GB"/>
        </w:rPr>
        <w:t xml:space="preserve"> In total 498 recipes with notice of respiratory infections were found, with 11 different sorts of antibiotics prescribed. Thereof, 63,6% was prescribed according to the NHG guideline ‘acute coughing’ and 36,4% was not. During the focus group, consensus was reached about appropriate antibiotics for complicated respiratory infections in elderly (amoxillin/clav acid, cef</w:t>
      </w:r>
      <w:r>
        <w:rPr>
          <w:rFonts w:ascii="Times New Roman" w:hAnsi="Times New Roman" w:cs="Times New Roman"/>
          <w:sz w:val="19"/>
          <w:szCs w:val="19"/>
          <w:lang w:val="en-GB"/>
        </w:rPr>
        <w:t>triaxon, amoxillin, trimethoprim/sulfamethoxazol</w:t>
      </w:r>
      <w:r w:rsidRPr="00AC0F7E">
        <w:rPr>
          <w:rFonts w:ascii="Times New Roman" w:hAnsi="Times New Roman" w:cs="Times New Roman"/>
          <w:sz w:val="19"/>
          <w:szCs w:val="19"/>
          <w:lang w:val="en-GB"/>
        </w:rPr>
        <w:t>). At the same time, the focus group provided insights in the reasons for non-adherence to the NHG guidline, with clinical deterioration as the most decisive symptom to start antibiotics.</w:t>
      </w:r>
    </w:p>
    <w:p w:rsidR="00AC0F7E" w:rsidRDefault="00AC0F7E" w:rsidP="00AC0F7E">
      <w:pPr>
        <w:pStyle w:val="Geenafstand"/>
        <w:ind w:left="1419"/>
        <w:rPr>
          <w:lang w:val="en-GB"/>
        </w:rPr>
      </w:pPr>
      <w:r w:rsidRPr="00AC0F7E">
        <w:rPr>
          <w:rFonts w:ascii="Times New Roman" w:hAnsi="Times New Roman" w:cs="Times New Roman"/>
          <w:i/>
          <w:iCs/>
          <w:sz w:val="19"/>
          <w:szCs w:val="19"/>
          <w:lang w:val="en-GB"/>
        </w:rPr>
        <w:t>Conclusion:</w:t>
      </w:r>
      <w:r w:rsidRPr="00AC0F7E">
        <w:rPr>
          <w:rFonts w:ascii="Times New Roman" w:hAnsi="Times New Roman" w:cs="Times New Roman"/>
          <w:sz w:val="19"/>
          <w:szCs w:val="19"/>
          <w:lang w:val="en-GB"/>
        </w:rPr>
        <w:t xml:space="preserve"> The results of this study show that healthcare professionals in nursing homes prescribe a variation of antibiotics which  are not completely in line with the NHG guideline. Considerations regarding prescription behaviour are influenced by characterisations of vulnerability of elderly people, ‘the clinical view’ and values with regard to meaningful care.</w:t>
      </w:r>
    </w:p>
    <w:p w:rsidR="00464BBC" w:rsidRDefault="00464BBC">
      <w:pPr>
        <w:pStyle w:val="Plattetekst"/>
        <w:spacing w:before="2"/>
      </w:pPr>
    </w:p>
    <w:p w:rsidR="00464BBC" w:rsidRDefault="006D0298">
      <w:pPr>
        <w:pStyle w:val="Kop3"/>
        <w:numPr>
          <w:ilvl w:val="0"/>
          <w:numId w:val="1"/>
        </w:numPr>
        <w:tabs>
          <w:tab w:val="left" w:pos="1914"/>
          <w:tab w:val="left" w:pos="1915"/>
        </w:tabs>
        <w:ind w:left="1914" w:hanging="494"/>
        <w:jc w:val="left"/>
      </w:pPr>
      <w:r>
        <w:rPr>
          <w:color w:val="585858"/>
        </w:rPr>
        <w:t>Image:</w:t>
      </w:r>
    </w:p>
    <w:p w:rsidR="00464BBC" w:rsidRDefault="00EE1068">
      <w:pPr>
        <w:pStyle w:val="Plattetekst"/>
        <w:ind w:left="1238"/>
        <w:rPr>
          <w:sz w:val="20"/>
        </w:rPr>
      </w:pPr>
      <w:r>
        <w:rPr>
          <w:noProof/>
          <w:color w:val="0000FF"/>
          <w:lang w:val="nl-NL" w:eastAsia="nl-NL"/>
        </w:rPr>
        <w:drawing>
          <wp:inline distT="0" distB="0" distL="0" distR="0">
            <wp:extent cx="2660014" cy="1330007"/>
            <wp:effectExtent l="0" t="0" r="7620" b="3810"/>
            <wp:docPr id="2" name="irc_mi" descr="Afbeeldingsresultaat voor svrz">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svrz">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6701" cy="1333350"/>
                    </a:xfrm>
                    <a:prstGeom prst="rect">
                      <a:avLst/>
                    </a:prstGeom>
                    <a:noFill/>
                    <a:ln>
                      <a:noFill/>
                    </a:ln>
                  </pic:spPr>
                </pic:pic>
              </a:graphicData>
            </a:graphic>
          </wp:inline>
        </w:drawing>
      </w:r>
    </w:p>
    <w:p w:rsidR="00464BBC" w:rsidRDefault="006D0298">
      <w:pPr>
        <w:pStyle w:val="Lijstalinea"/>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464BBC" w:rsidRDefault="00464BBC">
      <w:pPr>
        <w:pStyle w:val="Plattetekst"/>
        <w:spacing w:before="9"/>
        <w:rPr>
          <w:b/>
          <w:sz w:val="18"/>
        </w:rPr>
      </w:pPr>
    </w:p>
    <w:p w:rsidR="00EE1068" w:rsidRPr="002B7037" w:rsidRDefault="006D0298" w:rsidP="00EE1068">
      <w:pPr>
        <w:pStyle w:val="Geenafstand"/>
      </w:pPr>
      <w:r>
        <w:rPr>
          <w:color w:val="585858"/>
        </w:rPr>
        <w:t>1</w:t>
      </w:r>
      <w:r>
        <w:rPr>
          <w:color w:val="585858"/>
        </w:rPr>
        <w:tab/>
      </w: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Bont J, Hak E, Hoes AW, Schipper M, Schellevis FG, Verheij TJ. </w:t>
      </w:r>
      <w:r w:rsidRPr="00EE1068">
        <w:rPr>
          <w:rFonts w:cs="Arial"/>
          <w:i/>
          <w:sz w:val="19"/>
          <w:szCs w:val="19"/>
        </w:rPr>
        <w:t>A prediction rule for elderly primary-care patients with lower respiratory tract infections.</w:t>
      </w:r>
      <w:r w:rsidRPr="00EE1068">
        <w:rPr>
          <w:rFonts w:cs="Arial"/>
          <w:sz w:val="19"/>
          <w:szCs w:val="19"/>
        </w:rPr>
        <w:t xml:space="preserve"> Eur Respir J. 2007;29(5):969-75.</w:t>
      </w:r>
    </w:p>
    <w:p w:rsidR="00EE1068" w:rsidRPr="00EE1068" w:rsidRDefault="00EE1068" w:rsidP="00EE1068">
      <w:pPr>
        <w:ind w:left="360"/>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Careyn Utrecht stad: </w:t>
      </w:r>
      <w:r w:rsidRPr="00EE1068">
        <w:rPr>
          <w:rFonts w:cs="Arial"/>
          <w:i/>
          <w:sz w:val="19"/>
          <w:szCs w:val="19"/>
        </w:rPr>
        <w:t>Richtlijn behandeling lage luchtweginfecties</w:t>
      </w:r>
      <w:r w:rsidRPr="00EE1068">
        <w:rPr>
          <w:rFonts w:cs="Arial"/>
          <w:sz w:val="19"/>
          <w:szCs w:val="19"/>
        </w:rPr>
        <w:t>. 30 juni 2008. Geactualiseerd op 17 augustus 2013.</w:t>
      </w:r>
    </w:p>
    <w:p w:rsidR="00EE1068" w:rsidRPr="00EE1068" w:rsidRDefault="00EE1068" w:rsidP="00EE1068">
      <w:pPr>
        <w:pStyle w:val="Lijstalinea"/>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Casey C, Fullerton MJ, Somerville N. </w:t>
      </w:r>
      <w:r w:rsidRPr="00EE1068">
        <w:rPr>
          <w:rFonts w:cs="Arial"/>
          <w:i/>
          <w:sz w:val="19"/>
          <w:szCs w:val="19"/>
        </w:rPr>
        <w:t>Common Questions about Pneumonia in Nursing Home Residents</w:t>
      </w:r>
      <w:r w:rsidRPr="00EE1068">
        <w:rPr>
          <w:rFonts w:cs="Arial"/>
          <w:sz w:val="19"/>
          <w:szCs w:val="19"/>
        </w:rPr>
        <w:t xml:space="preserve">. Am Fam Physician. 2015. </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Centraal Bureau voor Statistiek. </w:t>
      </w:r>
      <w:r w:rsidRPr="00EE1068">
        <w:rPr>
          <w:rFonts w:cs="Arial"/>
          <w:i/>
          <w:sz w:val="19"/>
          <w:szCs w:val="19"/>
        </w:rPr>
        <w:t>http://www.clo.nl/indicatoren/nl0061-bodemgebruikskaart-voor-nederland</w:t>
      </w:r>
      <w:r w:rsidRPr="00EE1068">
        <w:rPr>
          <w:rFonts w:cs="Arial"/>
          <w:sz w:val="19"/>
          <w:szCs w:val="19"/>
        </w:rPr>
        <w:t xml:space="preserve"> . Geraadpleegd op 13 mei 2017.</w:t>
      </w:r>
    </w:p>
    <w:p w:rsidR="00EE1068" w:rsidRPr="00EE1068" w:rsidRDefault="00EE1068" w:rsidP="00EE1068">
      <w:pPr>
        <w:pStyle w:val="Lijstalinea"/>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Chan Carusone SB, Walter SD, Brazil K, Loeb MB. </w:t>
      </w:r>
      <w:r w:rsidRPr="00EE1068">
        <w:rPr>
          <w:rFonts w:cs="Arial"/>
          <w:i/>
          <w:sz w:val="19"/>
          <w:szCs w:val="19"/>
        </w:rPr>
        <w:t>Pneumonia and lower respiratory infections in nursing home residents: predictors of hospitalization and mortality.</w:t>
      </w:r>
      <w:r w:rsidRPr="00EE1068">
        <w:rPr>
          <w:rFonts w:cs="Arial"/>
          <w:sz w:val="19"/>
          <w:szCs w:val="19"/>
        </w:rPr>
        <w:t xml:space="preserve"> J Am Geriatr Soc. 2007;55(3):414-9.</w:t>
      </w:r>
    </w:p>
    <w:p w:rsidR="00EE1068" w:rsidRPr="00EE1068" w:rsidRDefault="00EE1068" w:rsidP="00EE1068">
      <w:pPr>
        <w:pStyle w:val="Lijstalinea"/>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Hak E, Bont J, Hoes AW, Verheij TJ. </w:t>
      </w:r>
      <w:r w:rsidRPr="00EE1068">
        <w:rPr>
          <w:rFonts w:cs="Arial"/>
          <w:i/>
          <w:sz w:val="19"/>
          <w:szCs w:val="19"/>
        </w:rPr>
        <w:t xml:space="preserve">Prognostic factors for serious morbidity and mortality from community-acquired lower respiratory tract infections among the elderly in primary care. </w:t>
      </w:r>
      <w:r w:rsidRPr="00EE1068">
        <w:rPr>
          <w:rFonts w:cs="Arial"/>
          <w:sz w:val="19"/>
          <w:szCs w:val="19"/>
        </w:rPr>
        <w:t>Family practice. 2005;22(4):375-80.</w:t>
      </w:r>
    </w:p>
    <w:p w:rsidR="00EE1068" w:rsidRPr="00EE1068" w:rsidRDefault="00EE1068" w:rsidP="00EE1068">
      <w:pPr>
        <w:pStyle w:val="Lijstalinea"/>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Hertogh CMPM. </w:t>
      </w:r>
      <w:r w:rsidRPr="00EE1068">
        <w:rPr>
          <w:rFonts w:cs="Arial"/>
          <w:i/>
          <w:sz w:val="19"/>
          <w:szCs w:val="19"/>
        </w:rPr>
        <w:t xml:space="preserve">Functionele Geriatrie. </w:t>
      </w:r>
      <w:r w:rsidRPr="00EE1068">
        <w:rPr>
          <w:rFonts w:cs="Arial"/>
          <w:sz w:val="19"/>
          <w:szCs w:val="19"/>
        </w:rPr>
        <w:t>Maarsen: Elsevier/De Tijdstroom; 1999.</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Hollaar V, Van der Maarel-Wierink C, Van der Putten G-J, Van der Sanden W, De Swart B, De Baat C. </w:t>
      </w:r>
      <w:r w:rsidRPr="00EE1068">
        <w:rPr>
          <w:rFonts w:cs="Arial"/>
          <w:i/>
          <w:sz w:val="19"/>
          <w:szCs w:val="19"/>
        </w:rPr>
        <w:t>Defining characteristics and risk indicators for diagnosing nursing home-acquired pneumonia and aspriation pneumonia in nursing home residents, using the Delphi Method.</w:t>
      </w:r>
      <w:r w:rsidRPr="00EE1068">
        <w:rPr>
          <w:rFonts w:cs="Arial"/>
          <w:sz w:val="19"/>
          <w:szCs w:val="19"/>
        </w:rPr>
        <w:t xml:space="preserve"> </w:t>
      </w:r>
      <w:r w:rsidRPr="00EE1068">
        <w:rPr>
          <w:rFonts w:cs="Arial"/>
          <w:i/>
          <w:sz w:val="19"/>
          <w:szCs w:val="19"/>
        </w:rPr>
        <w:t>BMC Geriatrics.</w:t>
      </w:r>
      <w:r w:rsidRPr="00EE1068">
        <w:rPr>
          <w:rFonts w:cs="Arial"/>
          <w:sz w:val="19"/>
          <w:szCs w:val="19"/>
        </w:rPr>
        <w:t xml:space="preserve"> 2016; 16:60.</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Lim WS, Macfarlane JT. </w:t>
      </w:r>
      <w:r w:rsidRPr="00EE1068">
        <w:rPr>
          <w:rFonts w:cs="Arial"/>
          <w:i/>
          <w:sz w:val="19"/>
          <w:szCs w:val="19"/>
        </w:rPr>
        <w:t>A prospective comparison of nursing home acquired pneumonia with community acquired pneumonia.</w:t>
      </w:r>
      <w:r w:rsidRPr="00EE1068">
        <w:rPr>
          <w:rFonts w:cs="Arial"/>
          <w:sz w:val="19"/>
          <w:szCs w:val="19"/>
        </w:rPr>
        <w:t xml:space="preserve"> Eur respire J.</w:t>
      </w:r>
      <w:r w:rsidRPr="00EE1068">
        <w:rPr>
          <w:rFonts w:cs="Arial"/>
          <w:i/>
          <w:sz w:val="19"/>
          <w:szCs w:val="19"/>
        </w:rPr>
        <w:t xml:space="preserve"> </w:t>
      </w:r>
      <w:r w:rsidRPr="00EE1068">
        <w:rPr>
          <w:rFonts w:cs="Arial"/>
          <w:sz w:val="19"/>
          <w:szCs w:val="19"/>
        </w:rPr>
        <w:t>2001;18: 362-368.</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Style w:val="GeenafstandChar"/>
          <w:rFonts w:cs="Arial"/>
          <w:sz w:val="19"/>
          <w:szCs w:val="19"/>
        </w:rPr>
      </w:pPr>
      <w:r w:rsidRPr="00EE1068">
        <w:rPr>
          <w:rFonts w:cs="Arial"/>
          <w:sz w:val="19"/>
          <w:szCs w:val="19"/>
        </w:rPr>
        <w:t xml:space="preserve">Ma HM, Wah JL, Woo J. </w:t>
      </w:r>
      <w:hyperlink r:id="rId8" w:tgtFrame="_blank" w:history="1">
        <w:r w:rsidRPr="00EE1068">
          <w:rPr>
            <w:rStyle w:val="GeenafstandChar"/>
            <w:i/>
            <w:sz w:val="19"/>
            <w:szCs w:val="19"/>
          </w:rPr>
          <w:t>Should nursing home-acquired pneumonia be treated as nosocomial pneumonia?</w:t>
        </w:r>
      </w:hyperlink>
      <w:r w:rsidRPr="00EE1068">
        <w:rPr>
          <w:rStyle w:val="GeenafstandChar"/>
          <w:sz w:val="19"/>
          <w:szCs w:val="19"/>
        </w:rPr>
        <w:t xml:space="preserve"> J Am Med Dir Assoc. 2012 Oct;13(8):727-31.</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Martinez-Moragon E, Garcia FL, Serra SB, et al. </w:t>
      </w:r>
      <w:r w:rsidRPr="00EE1068">
        <w:rPr>
          <w:rFonts w:cs="Arial"/>
          <w:i/>
          <w:sz w:val="19"/>
          <w:szCs w:val="19"/>
        </w:rPr>
        <w:t xml:space="preserve">Community-acquired pneumonia among the elderly: differences between patients living at home and in nursing homes. </w:t>
      </w:r>
      <w:r w:rsidRPr="00EE1068">
        <w:rPr>
          <w:rFonts w:cs="Arial"/>
          <w:sz w:val="19"/>
          <w:szCs w:val="19"/>
        </w:rPr>
        <w:t>Arch Bronconeumol. 2004; 40:547-552.</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McAlpine CH, Martin BJ, Lennox IM, Roberts MA. </w:t>
      </w:r>
      <w:r w:rsidRPr="00EE1068">
        <w:rPr>
          <w:rFonts w:cs="Arial"/>
          <w:i/>
          <w:sz w:val="19"/>
          <w:szCs w:val="19"/>
        </w:rPr>
        <w:t>Pyrexia in infection in the elderly</w:t>
      </w:r>
      <w:r w:rsidRPr="00EE1068">
        <w:rPr>
          <w:rFonts w:cs="Arial"/>
          <w:sz w:val="19"/>
          <w:szCs w:val="19"/>
        </w:rPr>
        <w:t>. Age ageing. 1986; 15(4): 230-234.</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Mills K, Graham AC, Winslow BT, Springer KL. </w:t>
      </w:r>
      <w:r w:rsidRPr="00EE1068">
        <w:rPr>
          <w:rFonts w:cs="Arial"/>
          <w:i/>
          <w:sz w:val="19"/>
          <w:szCs w:val="19"/>
        </w:rPr>
        <w:t>Treatment of nursing home-acquired pneumonia.</w:t>
      </w:r>
      <w:r w:rsidRPr="00EE1068">
        <w:rPr>
          <w:rFonts w:cs="Arial"/>
          <w:sz w:val="19"/>
          <w:szCs w:val="19"/>
        </w:rPr>
        <w:t xml:space="preserve"> Am Fam Physician. 2009 Jun 1;79(11):976-82. Review.</w:t>
      </w:r>
    </w:p>
    <w:p w:rsidR="00EE1068" w:rsidRPr="00EE1068" w:rsidRDefault="00EE1068" w:rsidP="00EE1068">
      <w:pPr>
        <w:pStyle w:val="Lijstalinea"/>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NVKG. </w:t>
      </w:r>
      <w:r w:rsidRPr="00EE1068">
        <w:rPr>
          <w:rFonts w:cs="Arial"/>
          <w:i/>
          <w:sz w:val="19"/>
          <w:szCs w:val="19"/>
        </w:rPr>
        <w:t>Richtlijn Comprehensive Geriatric Assessment.</w:t>
      </w:r>
      <w:r w:rsidRPr="00EE1068">
        <w:rPr>
          <w:rFonts w:cs="Arial"/>
          <w:sz w:val="19"/>
          <w:szCs w:val="19"/>
        </w:rPr>
        <w:t xml:space="preserve"> 2010. </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Polverino E, Dambrava P, Cillóniz C, Balasso V, Marcos MA, Esquinas C et al. </w:t>
      </w:r>
      <w:r w:rsidRPr="00EE1068">
        <w:rPr>
          <w:rFonts w:cs="Arial"/>
          <w:i/>
          <w:sz w:val="19"/>
          <w:szCs w:val="19"/>
        </w:rPr>
        <w:t>Nursing home-acquired pneumonia: a 10 year single-centre experience</w:t>
      </w:r>
      <w:r w:rsidRPr="00EE1068">
        <w:rPr>
          <w:rFonts w:cs="Arial"/>
          <w:sz w:val="19"/>
          <w:szCs w:val="19"/>
        </w:rPr>
        <w:t>. Thorax. 2010 Apr;65(4):354-9.</w:t>
      </w:r>
    </w:p>
    <w:p w:rsidR="00EE1068" w:rsidRPr="00EE1068" w:rsidRDefault="00EE1068" w:rsidP="00EE1068">
      <w:pPr>
        <w:pStyle w:val="Lijstalinea"/>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Porter M, Olmsted Teisberg E. (2006). </w:t>
      </w:r>
      <w:r w:rsidRPr="00EE1068">
        <w:rPr>
          <w:rFonts w:cs="Arial"/>
          <w:i/>
          <w:sz w:val="19"/>
          <w:szCs w:val="19"/>
        </w:rPr>
        <w:t>Redefining Health Care.</w:t>
      </w:r>
      <w:r w:rsidRPr="00EE1068">
        <w:rPr>
          <w:rFonts w:cs="Arial"/>
          <w:sz w:val="19"/>
          <w:szCs w:val="19"/>
        </w:rPr>
        <w:t xml:space="preserve"> (1</w:t>
      </w:r>
      <w:r w:rsidRPr="00EE1068">
        <w:rPr>
          <w:rFonts w:cs="Arial"/>
          <w:sz w:val="19"/>
          <w:szCs w:val="19"/>
          <w:vertAlign w:val="superscript"/>
        </w:rPr>
        <w:t>e</w:t>
      </w:r>
      <w:r w:rsidRPr="00EE1068">
        <w:rPr>
          <w:rFonts w:cs="Arial"/>
          <w:sz w:val="19"/>
          <w:szCs w:val="19"/>
        </w:rPr>
        <w:t xml:space="preserve"> druk). Boston, United States: Harvard Business Review Press.</w:t>
      </w:r>
    </w:p>
    <w:p w:rsidR="00EE1068" w:rsidRPr="00EE1068" w:rsidRDefault="00EE1068" w:rsidP="00EE1068">
      <w:pPr>
        <w:pStyle w:val="Lijstalinea"/>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Tichelaar D, Vreeburg E. </w:t>
      </w:r>
      <w:r w:rsidRPr="00EE1068">
        <w:rPr>
          <w:rFonts w:cs="Arial"/>
          <w:i/>
          <w:sz w:val="19"/>
          <w:szCs w:val="19"/>
        </w:rPr>
        <w:t>Amoxicilline/clavulaanzuur bij een pneumonie in het verpleeghuis.</w:t>
      </w:r>
      <w:r w:rsidRPr="00EE1068">
        <w:rPr>
          <w:rFonts w:cs="Arial"/>
          <w:sz w:val="19"/>
          <w:szCs w:val="19"/>
        </w:rPr>
        <w:t xml:space="preserve"> Tijdschrift voor Ouderengeneeskunde. 2016 Feb.</w:t>
      </w:r>
    </w:p>
    <w:p w:rsidR="00EE1068" w:rsidRPr="00EE1068" w:rsidRDefault="00EE1068" w:rsidP="00EE1068">
      <w:pPr>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Verheij ThJM, Hopstaken RM, Prins JM, Salomé PhL, Bindels PJ, Ponsioen  BP† et al. </w:t>
      </w:r>
      <w:r w:rsidRPr="00EE1068">
        <w:rPr>
          <w:rFonts w:cs="Arial"/>
          <w:i/>
          <w:sz w:val="19"/>
          <w:szCs w:val="19"/>
        </w:rPr>
        <w:t>NHG-Standaard Acuut hoesten</w:t>
      </w:r>
      <w:r w:rsidRPr="00EE1068">
        <w:rPr>
          <w:rFonts w:cs="Arial"/>
          <w:sz w:val="19"/>
          <w:szCs w:val="19"/>
        </w:rPr>
        <w:t xml:space="preserve">. (Eerste herziening) Huisarts Wet 2011:54(2):68-92. </w:t>
      </w:r>
    </w:p>
    <w:p w:rsidR="00EE1068" w:rsidRPr="00EE1068" w:rsidRDefault="00EE1068" w:rsidP="00EE1068">
      <w:pPr>
        <w:pStyle w:val="Lijstalinea"/>
        <w:rPr>
          <w:rFonts w:cs="Arial"/>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Verenso. </w:t>
      </w:r>
      <w:r w:rsidRPr="00EE1068">
        <w:rPr>
          <w:rFonts w:cs="Arial"/>
          <w:i/>
          <w:sz w:val="19"/>
          <w:szCs w:val="19"/>
        </w:rPr>
        <w:t>Conceptrichtlijn Lage Luchtweginfecties</w:t>
      </w:r>
      <w:r w:rsidRPr="00EE1068">
        <w:rPr>
          <w:rFonts w:cs="Arial"/>
          <w:sz w:val="19"/>
          <w:szCs w:val="19"/>
        </w:rPr>
        <w:t>. 2017.</w:t>
      </w:r>
    </w:p>
    <w:p w:rsidR="00EE1068" w:rsidRPr="00EE1068" w:rsidRDefault="00EE1068" w:rsidP="00EE1068">
      <w:pPr>
        <w:pStyle w:val="Lijstalinea"/>
        <w:rPr>
          <w:rFonts w:cs="Arial"/>
          <w:i/>
          <w:sz w:val="19"/>
          <w:szCs w:val="19"/>
        </w:rPr>
      </w:pPr>
    </w:p>
    <w:p w:rsidR="00EE1068" w:rsidRPr="00EE1068" w:rsidRDefault="00EE1068" w:rsidP="00EE1068">
      <w:pPr>
        <w:pStyle w:val="Lijstalinea"/>
        <w:widowControl/>
        <w:numPr>
          <w:ilvl w:val="0"/>
          <w:numId w:val="3"/>
        </w:numPr>
        <w:autoSpaceDE/>
        <w:autoSpaceDN/>
        <w:spacing w:line="240" w:lineRule="atLeast"/>
        <w:contextualSpacing/>
        <w:rPr>
          <w:rFonts w:cs="Arial"/>
          <w:sz w:val="19"/>
          <w:szCs w:val="19"/>
        </w:rPr>
      </w:pPr>
      <w:r w:rsidRPr="00EE1068">
        <w:rPr>
          <w:rFonts w:cs="Arial"/>
          <w:sz w:val="19"/>
          <w:szCs w:val="19"/>
        </w:rPr>
        <w:t xml:space="preserve">Verenso. </w:t>
      </w:r>
      <w:r w:rsidRPr="00EE1068">
        <w:rPr>
          <w:rFonts w:cs="Arial"/>
          <w:i/>
          <w:sz w:val="19"/>
          <w:szCs w:val="19"/>
        </w:rPr>
        <w:t xml:space="preserve">Handreiking Geriatrisch assessment door de specialist ouderengeneeskunde. </w:t>
      </w:r>
      <w:r w:rsidRPr="00EE1068">
        <w:rPr>
          <w:rFonts w:cs="Arial"/>
          <w:sz w:val="19"/>
          <w:szCs w:val="19"/>
        </w:rPr>
        <w:t>2014.</w:t>
      </w:r>
    </w:p>
    <w:p w:rsidR="00464BBC" w:rsidRDefault="00464BBC" w:rsidP="00EE1068">
      <w:pPr>
        <w:pStyle w:val="Plattetekst"/>
        <w:tabs>
          <w:tab w:val="left" w:pos="1037"/>
        </w:tabs>
        <w:ind w:left="1037" w:right="696" w:hanging="360"/>
      </w:pPr>
    </w:p>
    <w:p w:rsidR="00464BBC" w:rsidRDefault="006D0298">
      <w:pPr>
        <w:pStyle w:val="Kop3"/>
        <w:numPr>
          <w:ilvl w:val="0"/>
          <w:numId w:val="1"/>
        </w:numPr>
        <w:tabs>
          <w:tab w:val="left" w:pos="1758"/>
        </w:tabs>
        <w:ind w:left="1757"/>
        <w:jc w:val="left"/>
      </w:pPr>
      <w:r>
        <w:rPr>
          <w:color w:val="585858"/>
        </w:rPr>
        <w:t>Biography:</w:t>
      </w:r>
    </w:p>
    <w:p w:rsidR="00464BBC" w:rsidRDefault="00EE1068">
      <w:pPr>
        <w:pStyle w:val="Plattetekst"/>
        <w:spacing w:before="119"/>
        <w:ind w:left="316" w:right="381"/>
        <w:jc w:val="both"/>
      </w:pPr>
      <w:r>
        <w:rPr>
          <w:color w:val="585858"/>
        </w:rPr>
        <w:t>Lorier has completed her MSc at the age of 28</w:t>
      </w:r>
      <w:r w:rsidR="006D0298">
        <w:rPr>
          <w:color w:val="585858"/>
        </w:rPr>
        <w:t xml:space="preserve"> years from </w:t>
      </w:r>
      <w:r>
        <w:rPr>
          <w:color w:val="585858"/>
        </w:rPr>
        <w:t>Fontys</w:t>
      </w:r>
      <w:r w:rsidR="006D0298">
        <w:rPr>
          <w:color w:val="585858"/>
        </w:rPr>
        <w:t xml:space="preserve"> University</w:t>
      </w:r>
      <w:r>
        <w:rPr>
          <w:color w:val="585858"/>
        </w:rPr>
        <w:t xml:space="preserve"> of Applied Sciences, Tilburg. She works as a nurse practitioner in a nursing home</w:t>
      </w:r>
      <w:r w:rsidR="006D0298">
        <w:rPr>
          <w:color w:val="585858"/>
        </w:rPr>
        <w:t xml:space="preserve">. </w:t>
      </w:r>
      <w:r>
        <w:rPr>
          <w:color w:val="585858"/>
        </w:rPr>
        <w:t>She did</w:t>
      </w:r>
      <w:r w:rsidR="006D0298">
        <w:rPr>
          <w:color w:val="585858"/>
        </w:rPr>
        <w:t xml:space="preserve"> </w:t>
      </w:r>
      <w:r>
        <w:rPr>
          <w:color w:val="585858"/>
        </w:rPr>
        <w:t>her master</w:t>
      </w:r>
      <w:r w:rsidR="00773E98">
        <w:rPr>
          <w:color w:val="585858"/>
        </w:rPr>
        <w:t xml:space="preserve"> </w:t>
      </w:r>
      <w:bookmarkStart w:id="0" w:name="_GoBack"/>
      <w:bookmarkEnd w:id="0"/>
      <w:r>
        <w:rPr>
          <w:color w:val="585858"/>
        </w:rPr>
        <w:t>thesis about prescription behavior regarding antibiotics for respiratory infections in nursing homes in The Netherlands.</w:t>
      </w:r>
    </w:p>
    <w:p w:rsidR="00464BBC" w:rsidRDefault="00464BBC">
      <w:pPr>
        <w:pStyle w:val="Plattetekst"/>
        <w:spacing w:before="1"/>
      </w:pPr>
    </w:p>
    <w:p w:rsidR="00464BBC" w:rsidRDefault="006D0298">
      <w:pPr>
        <w:pStyle w:val="Kop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464BBC" w:rsidRDefault="00EE1068">
      <w:pPr>
        <w:pStyle w:val="Plattetekst"/>
        <w:spacing w:before="7"/>
        <w:rPr>
          <w:b/>
          <w:sz w:val="15"/>
        </w:rPr>
      </w:pPr>
      <w:r>
        <w:rPr>
          <w:b/>
          <w:noProof/>
          <w:sz w:val="15"/>
          <w:lang w:val="nl-NL" w:eastAsia="nl-NL"/>
        </w:rPr>
        <w:drawing>
          <wp:inline distT="0" distB="0" distL="0" distR="0">
            <wp:extent cx="3451225" cy="5177155"/>
            <wp:effectExtent l="0" t="0" r="0" b="444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313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51225" cy="5177155"/>
                    </a:xfrm>
                    <a:prstGeom prst="rect">
                      <a:avLst/>
                    </a:prstGeom>
                  </pic:spPr>
                </pic:pic>
              </a:graphicData>
            </a:graphic>
          </wp:inline>
        </w:drawing>
      </w:r>
    </w:p>
    <w:p w:rsidR="00EE1068" w:rsidRDefault="006D0298">
      <w:pPr>
        <w:pStyle w:val="Plattetekst"/>
        <w:spacing w:before="172"/>
        <w:ind w:left="316" w:right="4143"/>
        <w:rPr>
          <w:color w:val="585858"/>
        </w:rPr>
      </w:pPr>
      <w:r>
        <w:rPr>
          <w:color w:val="585858"/>
        </w:rPr>
        <w:t xml:space="preserve">Full Name: </w:t>
      </w:r>
      <w:r w:rsidR="00EE1068">
        <w:rPr>
          <w:color w:val="585858"/>
        </w:rPr>
        <w:t>Wendy Lorier</w:t>
      </w:r>
    </w:p>
    <w:p w:rsidR="00EE1068" w:rsidRDefault="006D0298">
      <w:pPr>
        <w:pStyle w:val="Plattetekst"/>
        <w:spacing w:before="172"/>
        <w:ind w:left="316" w:right="4143"/>
        <w:rPr>
          <w:color w:val="585858"/>
        </w:rPr>
      </w:pPr>
      <w:r>
        <w:rPr>
          <w:color w:val="585858"/>
        </w:rPr>
        <w:t xml:space="preserve">Contact number: </w:t>
      </w:r>
      <w:r w:rsidR="00EE1068">
        <w:rPr>
          <w:color w:val="585858"/>
        </w:rPr>
        <w:t>0031-643816206</w:t>
      </w:r>
    </w:p>
    <w:p w:rsidR="00464BBC" w:rsidRDefault="006D0298">
      <w:pPr>
        <w:pStyle w:val="Plattetekst"/>
        <w:spacing w:before="172"/>
        <w:ind w:left="316" w:right="4143"/>
      </w:pPr>
      <w:r>
        <w:rPr>
          <w:color w:val="585858"/>
        </w:rPr>
        <w:t>Linked In account:</w:t>
      </w:r>
      <w:r w:rsidR="00EE1068">
        <w:rPr>
          <w:color w:val="585858"/>
        </w:rPr>
        <w:t xml:space="preserve"> </w:t>
      </w:r>
      <w:hyperlink r:id="rId10" w:history="1">
        <w:r w:rsidR="00DA32CD" w:rsidRPr="005C20F5">
          <w:rPr>
            <w:rStyle w:val="Hyperlink"/>
          </w:rPr>
          <w:t>https://www.linkedin.com/in/wendy-jansen-lorier-0a475a125</w:t>
        </w:r>
      </w:hyperlink>
      <w:r w:rsidR="00DA32CD">
        <w:rPr>
          <w:color w:val="585858"/>
        </w:rPr>
        <w:t xml:space="preserve"> </w:t>
      </w:r>
    </w:p>
    <w:p w:rsidR="00464BBC" w:rsidRDefault="006D0298">
      <w:pPr>
        <w:pStyle w:val="Plattetekst"/>
        <w:ind w:left="316"/>
      </w:pPr>
      <w:r>
        <w:rPr>
          <w:color w:val="585858"/>
        </w:rPr>
        <w:t>Session name/ number:</w:t>
      </w:r>
      <w:r w:rsidR="00DA32CD">
        <w:rPr>
          <w:color w:val="585858"/>
        </w:rPr>
        <w:t xml:space="preserve"> </w:t>
      </w:r>
      <w:hyperlink r:id="rId11" w:anchor="5" w:history="1">
        <w:r w:rsidR="00DA32CD" w:rsidRPr="00DA32CD">
          <w:rPr>
            <w:rFonts w:cs="Arial"/>
            <w:color w:val="333333"/>
            <w:lang w:val="en"/>
          </w:rPr>
          <w:t xml:space="preserve">Track 5: Geriatric Health Medicine </w:t>
        </w:r>
      </w:hyperlink>
    </w:p>
    <w:p w:rsidR="00DA32CD" w:rsidRDefault="00DA32CD">
      <w:pPr>
        <w:pStyle w:val="Plattetekst"/>
        <w:ind w:left="316" w:right="1786"/>
        <w:rPr>
          <w:color w:val="585858"/>
        </w:rPr>
      </w:pPr>
      <w:r>
        <w:rPr>
          <w:color w:val="585858"/>
        </w:rPr>
        <w:t>Category: Oral presentation</w:t>
      </w:r>
      <w:r w:rsidR="006D0298">
        <w:rPr>
          <w:color w:val="585858"/>
        </w:rPr>
        <w:t xml:space="preserve"> </w:t>
      </w:r>
    </w:p>
    <w:p w:rsidR="00464BBC" w:rsidRDefault="006D0298">
      <w:pPr>
        <w:pStyle w:val="Plattetekst"/>
        <w:ind w:left="316" w:right="1786"/>
        <w:rPr>
          <w:sz w:val="18"/>
        </w:rPr>
      </w:pPr>
      <w:r>
        <w:rPr>
          <w:color w:val="585858"/>
        </w:rPr>
        <w:t>Passport Number</w:t>
      </w:r>
      <w:r>
        <w:rPr>
          <w:color w:val="585858"/>
          <w:sz w:val="18"/>
        </w:rPr>
        <w:t>:</w:t>
      </w:r>
    </w:p>
    <w:p w:rsidR="00464BBC" w:rsidRPr="00DA32CD" w:rsidRDefault="00DA32CD">
      <w:pPr>
        <w:rPr>
          <w:i/>
          <w:sz w:val="18"/>
        </w:rPr>
        <w:sectPr w:rsidR="00464BBC" w:rsidRPr="00DA32CD">
          <w:type w:val="continuous"/>
          <w:pgSz w:w="11910" w:h="16840"/>
          <w:pgMar w:top="600" w:right="180" w:bottom="280" w:left="140" w:header="720" w:footer="720" w:gutter="0"/>
          <w:cols w:num="2" w:space="720" w:equalWidth="0">
            <w:col w:w="5639" w:space="40"/>
            <w:col w:w="5911"/>
          </w:cols>
        </w:sectPr>
      </w:pPr>
      <w:r>
        <w:rPr>
          <w:i/>
          <w:sz w:val="18"/>
        </w:rPr>
        <w:t>To be  filled in later</w:t>
      </w:r>
    </w:p>
    <w:p w:rsidR="00464BBC" w:rsidRDefault="00464BBC">
      <w:pPr>
        <w:pStyle w:val="Plattetekst"/>
        <w:rPr>
          <w:sz w:val="20"/>
        </w:rPr>
      </w:pPr>
    </w:p>
    <w:p w:rsidR="00464BBC" w:rsidRDefault="00464BBC">
      <w:pPr>
        <w:pStyle w:val="Plattetekst"/>
        <w:rPr>
          <w:sz w:val="20"/>
        </w:rPr>
      </w:pPr>
    </w:p>
    <w:p w:rsidR="00464BBC" w:rsidRDefault="00464BBC">
      <w:pPr>
        <w:pStyle w:val="Plattetekst"/>
        <w:spacing w:before="1"/>
        <w:rPr>
          <w:sz w:val="27"/>
        </w:rPr>
      </w:pPr>
    </w:p>
    <w:p w:rsidR="00464BBC" w:rsidRDefault="006D0298">
      <w:pPr>
        <w:pStyle w:val="Plattetekst"/>
        <w:spacing w:line="55" w:lineRule="exact"/>
        <w:ind w:left="107"/>
        <w:rPr>
          <w:sz w:val="5"/>
        </w:rPr>
      </w:pPr>
      <w:r>
        <w:rPr>
          <w:noProof/>
          <w:sz w:val="5"/>
          <w:lang w:val="nl-NL" w:eastAsia="nl-NL"/>
        </w:rPr>
        <mc:AlternateContent>
          <mc:Choice Requires="wpg">
            <w:drawing>
              <wp:inline distT="0" distB="0" distL="0" distR="0">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0E4FED"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rsidR="008B08DF" w:rsidRDefault="008B08DF" w:rsidP="008B08DF">
      <w:pPr>
        <w:pStyle w:val="Pa2"/>
        <w:pBdr>
          <w:top w:val="single" w:sz="4" w:space="1" w:color="auto"/>
        </w:pBdr>
        <w:rPr>
          <w:rFonts w:ascii="Times New Roman" w:hAnsi="Times New Roman"/>
          <w:b/>
          <w:bCs/>
          <w:color w:val="FF0000"/>
          <w:sz w:val="22"/>
          <w:szCs w:val="22"/>
        </w:rPr>
      </w:pPr>
      <w:r>
        <w:t xml:space="preserve">                                                   </w:t>
      </w:r>
      <w:r>
        <w:rPr>
          <w:sz w:val="16"/>
          <w:szCs w:val="16"/>
        </w:rPr>
        <w:t>Copyright © 2016-2018 Meetings Int PTE Ltd, All Rights Reserved.</w:t>
      </w:r>
    </w:p>
    <w:p w:rsidR="008B08DF" w:rsidRPr="002758EA" w:rsidRDefault="008B08DF" w:rsidP="008B08DF">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Pr="002758EA">
        <w:rPr>
          <w:rFonts w:ascii="Times New Roman" w:hAnsi="Times New Roman"/>
          <w:b/>
          <w:bCs/>
          <w:color w:val="C00000"/>
          <w:sz w:val="20"/>
          <w:szCs w:val="20"/>
        </w:rPr>
        <w:t xml:space="preserve">Meetings International Pte Ltd                                                                               </w:t>
      </w:r>
    </w:p>
    <w:p w:rsidR="008B08DF" w:rsidRPr="002758EA" w:rsidRDefault="008B08DF" w:rsidP="008B08DF">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Pr="002758EA">
        <w:rPr>
          <w:rFonts w:ascii="Times New Roman" w:hAnsi="Times New Roman"/>
          <w:b/>
          <w:bCs/>
          <w:color w:val="C00000"/>
          <w:sz w:val="20"/>
          <w:szCs w:val="20"/>
        </w:rPr>
        <w:t>C</w:t>
      </w:r>
      <w:r w:rsidRPr="002758EA">
        <w:rPr>
          <w:rFonts w:ascii="Times New Roman" w:hAnsi="Times New Roman"/>
          <w:b/>
          <w:color w:val="C00000"/>
          <w:sz w:val="20"/>
          <w:szCs w:val="20"/>
        </w:rPr>
        <w:t>ontact Number</w:t>
      </w:r>
    </w:p>
    <w:p w:rsidR="008B08DF" w:rsidRPr="002758EA" w:rsidRDefault="008B08DF" w:rsidP="008B08DF">
      <w:pPr>
        <w:pStyle w:val="Pa2"/>
        <w:rPr>
          <w:rFonts w:ascii="Times New Roman" w:hAnsi="Times New Roman"/>
          <w:color w:val="000000"/>
          <w:sz w:val="20"/>
          <w:szCs w:val="20"/>
        </w:rPr>
      </w:pPr>
      <w:r w:rsidRPr="002758EA">
        <w:rPr>
          <w:rFonts w:ascii="Times New Roman" w:hAnsi="Times New Roman"/>
          <w:color w:val="000000"/>
          <w:sz w:val="20"/>
          <w:szCs w:val="20"/>
        </w:rPr>
        <w:t xml:space="preserve">     TRAFFIC, SINGAPORE (069120)                                                                      65-310-80483 (SINGAPORE</w:t>
      </w:r>
      <w:r>
        <w:rPr>
          <w:rFonts w:ascii="Times New Roman" w:hAnsi="Times New Roman"/>
          <w:color w:val="000000"/>
          <w:sz w:val="20"/>
          <w:szCs w:val="20"/>
        </w:rPr>
        <w:t>)</w:t>
      </w:r>
    </w:p>
    <w:p w:rsidR="008B08DF" w:rsidRPr="002758EA" w:rsidRDefault="008B08DF" w:rsidP="008B08DF">
      <w:pPr>
        <w:pStyle w:val="Pa2"/>
        <w:rPr>
          <w:rFonts w:ascii="Times New Roman" w:hAnsi="Times New Roman"/>
          <w:color w:val="00B0F0"/>
          <w:sz w:val="18"/>
          <w:szCs w:val="18"/>
        </w:rPr>
      </w:pPr>
      <w:r w:rsidRPr="002758EA">
        <w:rPr>
          <w:rFonts w:ascii="Times New Roman" w:hAnsi="Times New Roman"/>
          <w:b/>
          <w:color w:val="C00000"/>
          <w:sz w:val="20"/>
          <w:szCs w:val="20"/>
        </w:rPr>
        <w:t>URL:</w:t>
      </w:r>
      <w:r w:rsidRPr="002758EA">
        <w:rPr>
          <w:rFonts w:ascii="Times New Roman" w:hAnsi="Times New Roman"/>
          <w:sz w:val="20"/>
          <w:szCs w:val="20"/>
        </w:rPr>
        <w:t>https://www.mee</w:t>
      </w:r>
      <w:r>
        <w:rPr>
          <w:rFonts w:ascii="Times New Roman" w:hAnsi="Times New Roman"/>
          <w:sz w:val="20"/>
          <w:szCs w:val="20"/>
        </w:rPr>
        <w:t>tingsint.com/conferences/geriatrics</w:t>
      </w:r>
      <w:r w:rsidRPr="002758EA">
        <w:rPr>
          <w:rFonts w:ascii="Times New Roman" w:hAnsi="Times New Roman"/>
          <w:sz w:val="20"/>
          <w:szCs w:val="20"/>
        </w:rPr>
        <w:tab/>
      </w:r>
      <w:r w:rsidRPr="002758EA">
        <w:rPr>
          <w:rFonts w:ascii="Times New Roman" w:hAnsi="Times New Roman"/>
          <w:color w:val="C00000"/>
          <w:sz w:val="20"/>
          <w:szCs w:val="20"/>
        </w:rPr>
        <w:t xml:space="preserve">                             </w:t>
      </w:r>
      <w:r>
        <w:rPr>
          <w:rFonts w:ascii="Times New Roman" w:hAnsi="Times New Roman"/>
          <w:color w:val="C00000"/>
          <w:sz w:val="20"/>
          <w:szCs w:val="20"/>
        </w:rPr>
        <w:t xml:space="preserve"> </w:t>
      </w:r>
      <w:r w:rsidRPr="002758EA">
        <w:rPr>
          <w:rFonts w:ascii="Times New Roman" w:hAnsi="Times New Roman"/>
          <w:b/>
          <w:color w:val="C00000"/>
          <w:sz w:val="20"/>
          <w:szCs w:val="20"/>
        </w:rPr>
        <w:t xml:space="preserve">Email Id: </w:t>
      </w:r>
      <w:r>
        <w:rPr>
          <w:rFonts w:ascii="Times New Roman" w:hAnsi="Times New Roman"/>
          <w:sz w:val="20"/>
          <w:szCs w:val="20"/>
        </w:rPr>
        <w:t>geriatrics</w:t>
      </w:r>
      <w:r w:rsidR="00240EB6">
        <w:rPr>
          <w:rFonts w:ascii="Times New Roman" w:hAnsi="Times New Roman"/>
          <w:sz w:val="20"/>
          <w:szCs w:val="20"/>
        </w:rPr>
        <w:t>@annualmeetings.net</w:t>
      </w:r>
      <w:r w:rsidRPr="002758EA">
        <w:rPr>
          <w:rFonts w:ascii="Times New Roman" w:hAnsi="Times New Roman"/>
          <w:color w:val="FF0000"/>
          <w:sz w:val="20"/>
          <w:szCs w:val="20"/>
        </w:rPr>
        <w:t xml:space="preserve"> </w:t>
      </w:r>
      <w:r w:rsidRPr="002758EA">
        <w:rPr>
          <w:rFonts w:ascii="Times New Roman" w:hAnsi="Times New Roman"/>
          <w:color w:val="FF0000"/>
          <w:szCs w:val="22"/>
        </w:rPr>
        <w:t xml:space="preserve"> </w:t>
      </w:r>
      <w:r w:rsidRPr="002758EA">
        <w:rPr>
          <w:rFonts w:ascii="Times New Roman" w:hAnsi="Times New Roman"/>
          <w:b/>
          <w:color w:val="C00000"/>
          <w:szCs w:val="22"/>
        </w:rPr>
        <w:t xml:space="preserve">                                            </w:t>
      </w:r>
    </w:p>
    <w:p w:rsidR="008B08DF" w:rsidRPr="003C567C" w:rsidRDefault="008B08DF" w:rsidP="008B08DF">
      <w:pPr>
        <w:pStyle w:val="Voettekst"/>
        <w:rPr>
          <w:szCs w:val="22"/>
        </w:rPr>
      </w:pPr>
      <w:r w:rsidRPr="00144FA3">
        <w:rPr>
          <w:color w:val="FF0000"/>
          <w:szCs w:val="22"/>
        </w:rPr>
        <w:t xml:space="preserve">                          </w:t>
      </w:r>
      <w:r>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p w:rsidR="00464BBC" w:rsidRDefault="00464BBC" w:rsidP="008B08DF">
      <w:pPr>
        <w:spacing w:before="49"/>
        <w:ind w:left="1105" w:right="1371"/>
        <w:jc w:val="center"/>
        <w:rPr>
          <w:sz w:val="20"/>
        </w:rPr>
      </w:pPr>
    </w:p>
    <w:sectPr w:rsidR="00464BBC">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altName w:val="Lucida Sans Unicode"/>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7658D"/>
    <w:multiLevelType w:val="hybridMultilevel"/>
    <w:tmpl w:val="47FC11FC"/>
    <w:lvl w:ilvl="0" w:tplc="60A0314A">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2" w15:restartNumberingAfterBreak="0">
    <w:nsid w:val="7D376FFD"/>
    <w:multiLevelType w:val="hybridMultilevel"/>
    <w:tmpl w:val="CF16F5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044178"/>
    <w:rsid w:val="00120251"/>
    <w:rsid w:val="00134327"/>
    <w:rsid w:val="001C237C"/>
    <w:rsid w:val="00240EB6"/>
    <w:rsid w:val="002A27E1"/>
    <w:rsid w:val="00464BBC"/>
    <w:rsid w:val="00521DE3"/>
    <w:rsid w:val="006D0298"/>
    <w:rsid w:val="00773E98"/>
    <w:rsid w:val="008B08DF"/>
    <w:rsid w:val="008D088A"/>
    <w:rsid w:val="00AC0F7E"/>
    <w:rsid w:val="00DA32CD"/>
    <w:rsid w:val="00EE1068"/>
    <w:rsid w:val="00F66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1839D"/>
  <w15:docId w15:val="{3F975763-6C66-4CBC-BAD7-421D37ADE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Times New Roman" w:eastAsia="Times New Roman" w:hAnsi="Times New Roman" w:cs="Times New Roman"/>
    </w:rPr>
  </w:style>
  <w:style w:type="paragraph" w:styleId="Kop1">
    <w:name w:val="heading 1"/>
    <w:basedOn w:val="Standaard"/>
    <w:uiPriority w:val="1"/>
    <w:qFormat/>
    <w:pPr>
      <w:spacing w:before="74"/>
      <w:ind w:left="594" w:right="151"/>
      <w:outlineLvl w:val="0"/>
    </w:pPr>
    <w:rPr>
      <w:b/>
      <w:bCs/>
    </w:rPr>
  </w:style>
  <w:style w:type="paragraph" w:styleId="Kop2">
    <w:name w:val="heading 2"/>
    <w:basedOn w:val="Standaard"/>
    <w:uiPriority w:val="1"/>
    <w:qFormat/>
    <w:pPr>
      <w:ind w:left="1105" w:right="1370"/>
      <w:jc w:val="center"/>
      <w:outlineLvl w:val="1"/>
    </w:pPr>
    <w:rPr>
      <w:sz w:val="20"/>
      <w:szCs w:val="20"/>
    </w:rPr>
  </w:style>
  <w:style w:type="paragraph" w:styleId="Kop3">
    <w:name w:val="heading 3"/>
    <w:basedOn w:val="Standaard"/>
    <w:uiPriority w:val="1"/>
    <w:qFormat/>
    <w:pPr>
      <w:ind w:left="1757" w:hanging="447"/>
      <w:outlineLvl w:val="2"/>
    </w:pPr>
    <w:rPr>
      <w:b/>
      <w:bCs/>
      <w:sz w:val="19"/>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sz w:val="19"/>
      <w:szCs w:val="19"/>
    </w:rPr>
  </w:style>
  <w:style w:type="paragraph" w:styleId="Lijstalinea">
    <w:name w:val="List Paragraph"/>
    <w:basedOn w:val="Standaard"/>
    <w:uiPriority w:val="34"/>
    <w:qFormat/>
    <w:pPr>
      <w:ind w:left="1757" w:hanging="447"/>
    </w:pPr>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6D0298"/>
    <w:rPr>
      <w:rFonts w:ascii="Tahoma" w:hAnsi="Tahoma" w:cs="Tahoma"/>
      <w:sz w:val="16"/>
      <w:szCs w:val="16"/>
    </w:rPr>
  </w:style>
  <w:style w:type="character" w:customStyle="1" w:styleId="BallontekstChar">
    <w:name w:val="Ballontekst Char"/>
    <w:basedOn w:val="Standaardalinea-lettertype"/>
    <w:link w:val="Ballontekst"/>
    <w:uiPriority w:val="99"/>
    <w:semiHidden/>
    <w:rsid w:val="006D0298"/>
    <w:rPr>
      <w:rFonts w:ascii="Tahoma" w:eastAsia="Times New Roman" w:hAnsi="Tahoma" w:cs="Tahoma"/>
      <w:sz w:val="16"/>
      <w:szCs w:val="16"/>
    </w:rPr>
  </w:style>
  <w:style w:type="character" w:styleId="Hyperlink">
    <w:name w:val="Hyperlink"/>
    <w:basedOn w:val="Standaardalinea-lettertype"/>
    <w:uiPriority w:val="99"/>
    <w:unhideWhenUsed/>
    <w:rsid w:val="006D0298"/>
    <w:rPr>
      <w:color w:val="0000FF" w:themeColor="hyperlink"/>
      <w:u w:val="single"/>
    </w:rPr>
  </w:style>
  <w:style w:type="paragraph" w:styleId="Voettekst">
    <w:name w:val="footer"/>
    <w:basedOn w:val="Standaard"/>
    <w:link w:val="VoettekstChar"/>
    <w:uiPriority w:val="99"/>
    <w:unhideWhenUsed/>
    <w:rsid w:val="008B08DF"/>
    <w:pPr>
      <w:widowControl/>
      <w:tabs>
        <w:tab w:val="center" w:pos="4680"/>
        <w:tab w:val="right" w:pos="9360"/>
      </w:tabs>
      <w:autoSpaceDE/>
      <w:autoSpaceDN/>
      <w:jc w:val="center"/>
    </w:pPr>
    <w:rPr>
      <w:sz w:val="20"/>
      <w:szCs w:val="20"/>
    </w:rPr>
  </w:style>
  <w:style w:type="character" w:customStyle="1" w:styleId="VoettekstChar">
    <w:name w:val="Voettekst Char"/>
    <w:basedOn w:val="Standaardalinea-lettertype"/>
    <w:link w:val="Voettekst"/>
    <w:uiPriority w:val="99"/>
    <w:rsid w:val="008B08DF"/>
    <w:rPr>
      <w:rFonts w:ascii="Times New Roman" w:eastAsia="Times New Roman" w:hAnsi="Times New Roman" w:cs="Times New Roman"/>
      <w:sz w:val="20"/>
      <w:szCs w:val="20"/>
    </w:rPr>
  </w:style>
  <w:style w:type="paragraph" w:customStyle="1" w:styleId="Pa2">
    <w:name w:val="Pa2"/>
    <w:basedOn w:val="Standaard"/>
    <w:next w:val="Standaard"/>
    <w:uiPriority w:val="99"/>
    <w:rsid w:val="008B08DF"/>
    <w:pPr>
      <w:widowControl/>
      <w:adjustRightInd w:val="0"/>
      <w:spacing w:line="241" w:lineRule="atLeast"/>
    </w:pPr>
    <w:rPr>
      <w:rFonts w:ascii="Tw Cen MT" w:hAnsi="Tw Cen MT"/>
      <w:sz w:val="24"/>
      <w:szCs w:val="24"/>
    </w:rPr>
  </w:style>
  <w:style w:type="paragraph" w:styleId="Geenafstand">
    <w:name w:val="No Spacing"/>
    <w:link w:val="GeenafstandChar"/>
    <w:uiPriority w:val="1"/>
    <w:qFormat/>
    <w:rsid w:val="00AC0F7E"/>
    <w:pPr>
      <w:widowControl/>
      <w:autoSpaceDE/>
      <w:autoSpaceDN/>
    </w:pPr>
    <w:rPr>
      <w:lang w:val="nl-NL"/>
    </w:rPr>
  </w:style>
  <w:style w:type="character" w:customStyle="1" w:styleId="GeenafstandChar">
    <w:name w:val="Geen afstand Char"/>
    <w:basedOn w:val="Standaardalinea-lettertype"/>
    <w:link w:val="Geenafstand"/>
    <w:uiPriority w:val="1"/>
    <w:rsid w:val="00AC0F7E"/>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2288972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nl/url?sa=i&amp;rct=j&amp;q=&amp;esrc=s&amp;source=images&amp;cd=&amp;cad=rja&amp;uact=8&amp;ved=2ahUKEwiq0-Oi0I_dAhVPJFAKHUJTAhwQjRx6BAgBEAU&amp;url=https://www.detelefoongids.nl/svrz/187428800010/5-1/&amp;psig=AOvVaw3TYe8xzUWVXugepWwaLx08&amp;ust=1535541559867771" TargetMode="External"/><Relationship Id="rId11" Type="http://schemas.openxmlformats.org/officeDocument/2006/relationships/hyperlink" Target="https://www.meetingsint.com/conferences/geriatrics/call-for-abstracts" TargetMode="External"/><Relationship Id="rId5" Type="http://schemas.openxmlformats.org/officeDocument/2006/relationships/image" Target="media/image1.jpg"/><Relationship Id="rId10" Type="http://schemas.openxmlformats.org/officeDocument/2006/relationships/hyperlink" Target="https://www.linkedin.com/in/wendy-jansen-lorier-0a475a125"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71C10A8C</Template>
  <TotalTime>15</TotalTime>
  <Pages>2</Pages>
  <Words>1040</Words>
  <Characters>5724</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Jansen, Wendy</cp:lastModifiedBy>
  <cp:revision>5</cp:revision>
  <cp:lastPrinted>2018-08-28T10:54:00Z</cp:lastPrinted>
  <dcterms:created xsi:type="dcterms:W3CDTF">2018-08-28T11:16:00Z</dcterms:created>
  <dcterms:modified xsi:type="dcterms:W3CDTF">2018-08-28T11:31:00Z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