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4C46" w:rsidRDefault="00C34C46" w:rsidP="00C34C46">
      <w:pPr>
        <w:spacing w:before="100" w:beforeAutospacing="1" w:after="100" w:afterAutospacing="1"/>
        <w:rPr>
          <w:rFonts w:ascii="Arial" w:eastAsia="Times New Roman" w:hAnsi="Arial" w:cs="Arial"/>
          <w:color w:val="000000"/>
          <w:lang w:val="en-US"/>
        </w:rPr>
      </w:pPr>
      <w:r w:rsidRPr="00C34C46">
        <w:rPr>
          <w:rFonts w:ascii="Arial" w:eastAsia="Times New Roman" w:hAnsi="Arial" w:cs="Arial"/>
          <w:color w:val="000000"/>
          <w:lang w:val="en-US"/>
        </w:rPr>
        <w:t>The Role of Constant Personal Observation (One-to-One Special) Care in The Management of Delirium: A Retrospective Analysis</w:t>
      </w:r>
    </w:p>
    <w:p w:rsidR="00C34C46" w:rsidRDefault="00C34C46" w:rsidP="00C34C46">
      <w:pPr>
        <w:spacing w:before="100" w:beforeAutospacing="1" w:after="100" w:afterAutospacing="1"/>
        <w:rPr>
          <w:rFonts w:ascii="Arial" w:eastAsia="Times New Roman" w:hAnsi="Arial" w:cs="Arial"/>
          <w:color w:val="000000"/>
          <w:lang w:val="en-AU"/>
        </w:rPr>
      </w:pPr>
      <w:proofErr w:type="spellStart"/>
      <w:r>
        <w:rPr>
          <w:rFonts w:ascii="Arial" w:eastAsia="Times New Roman" w:hAnsi="Arial" w:cs="Arial"/>
          <w:color w:val="000000"/>
          <w:lang w:val="en-US"/>
        </w:rPr>
        <w:t>Dr</w:t>
      </w:r>
      <w:proofErr w:type="spellEnd"/>
      <w:r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lang w:val="en-US"/>
        </w:rPr>
        <w:t>K.Thu</w:t>
      </w:r>
      <w:proofErr w:type="spellEnd"/>
      <w:r>
        <w:rPr>
          <w:rFonts w:ascii="Arial" w:eastAsia="Times New Roman" w:hAnsi="Arial" w:cs="Arial"/>
          <w:color w:val="000000"/>
          <w:lang w:val="en-US"/>
        </w:rPr>
        <w:t xml:space="preserve"> </w:t>
      </w:r>
      <w:r>
        <w:rPr>
          <w:rStyle w:val="FootnoteReference"/>
          <w:rFonts w:ascii="Arial" w:eastAsia="Times New Roman" w:hAnsi="Arial" w:cs="Arial"/>
          <w:color w:val="000000"/>
          <w:lang w:val="en-US"/>
        </w:rPr>
        <w:footnoteReference w:id="1"/>
      </w:r>
      <w:r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lang w:val="en-US"/>
        </w:rPr>
        <w:t>Dr</w:t>
      </w:r>
      <w:proofErr w:type="spellEnd"/>
      <w:r>
        <w:rPr>
          <w:rFonts w:ascii="Arial" w:eastAsia="Times New Roman" w:hAnsi="Arial" w:cs="Arial"/>
          <w:color w:val="000000"/>
          <w:lang w:val="en-US"/>
        </w:rPr>
        <w:t xml:space="preserve"> Boon Ng </w:t>
      </w:r>
      <w:r>
        <w:rPr>
          <w:rStyle w:val="FootnoteReference"/>
          <w:rFonts w:ascii="Arial" w:eastAsia="Times New Roman" w:hAnsi="Arial" w:cs="Arial"/>
          <w:color w:val="000000"/>
          <w:lang w:val="en-US"/>
        </w:rPr>
        <w:footnoteReference w:id="2"/>
      </w:r>
      <w:r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lang w:val="en-US"/>
        </w:rPr>
        <w:t>Dr</w:t>
      </w:r>
      <w:proofErr w:type="spellEnd"/>
      <w:r>
        <w:rPr>
          <w:rFonts w:ascii="Arial" w:eastAsia="Times New Roman" w:hAnsi="Arial" w:cs="Arial"/>
          <w:color w:val="000000"/>
          <w:lang w:val="en-US"/>
        </w:rPr>
        <w:t xml:space="preserve"> Shi </w:t>
      </w:r>
      <w:proofErr w:type="spellStart"/>
      <w:r>
        <w:rPr>
          <w:rFonts w:ascii="Arial" w:eastAsia="Times New Roman" w:hAnsi="Arial" w:cs="Arial"/>
          <w:color w:val="000000"/>
          <w:lang w:val="en-US"/>
        </w:rPr>
        <w:t>Jynn</w:t>
      </w:r>
      <w:proofErr w:type="spellEnd"/>
      <w:r>
        <w:rPr>
          <w:rFonts w:ascii="Arial" w:eastAsia="Times New Roman" w:hAnsi="Arial" w:cs="Arial"/>
          <w:color w:val="000000"/>
          <w:lang w:val="en-US"/>
        </w:rPr>
        <w:t xml:space="preserve"> Yong</w:t>
      </w:r>
    </w:p>
    <w:p w:rsidR="00C34C46" w:rsidRDefault="00C34C46" w:rsidP="00C34C46">
      <w:pPr>
        <w:spacing w:before="100" w:beforeAutospacing="1" w:after="100" w:afterAutospacing="1"/>
        <w:rPr>
          <w:rFonts w:ascii="Arial" w:eastAsia="Times New Roman" w:hAnsi="Arial" w:cs="Arial"/>
          <w:color w:val="000000"/>
          <w:lang w:val="en-AU"/>
        </w:rPr>
      </w:pPr>
    </w:p>
    <w:p w:rsidR="00C34C46" w:rsidRPr="00C34C46" w:rsidRDefault="00C34C46" w:rsidP="00C34C46">
      <w:pPr>
        <w:spacing w:before="100" w:beforeAutospacing="1" w:after="100" w:afterAutospacing="1"/>
        <w:rPr>
          <w:rFonts w:ascii="Arial" w:eastAsia="Times New Roman" w:hAnsi="Arial" w:cs="Arial"/>
          <w:color w:val="000000"/>
          <w:lang w:val="en-AU"/>
        </w:rPr>
      </w:pPr>
      <w:r w:rsidRPr="00C34C46">
        <w:rPr>
          <w:rFonts w:ascii="Arial" w:eastAsia="Times New Roman" w:hAnsi="Arial" w:cs="Arial"/>
          <w:color w:val="000000"/>
          <w:lang w:val="en-AU"/>
        </w:rPr>
        <w:t xml:space="preserve">Constant personal observation (CPO) or </w:t>
      </w:r>
      <w:r>
        <w:rPr>
          <w:rFonts w:ascii="Arial" w:eastAsia="Times New Roman" w:hAnsi="Arial" w:cs="Arial"/>
          <w:color w:val="000000"/>
          <w:lang w:val="en-AU"/>
        </w:rPr>
        <w:t xml:space="preserve">“specialling” </w:t>
      </w:r>
      <w:r w:rsidRPr="00C34C46">
        <w:rPr>
          <w:rFonts w:ascii="Arial" w:eastAsia="Times New Roman" w:hAnsi="Arial" w:cs="Arial"/>
          <w:color w:val="000000"/>
          <w:lang w:val="en-AU"/>
        </w:rPr>
        <w:t xml:space="preserve">a widely used non-pharmacological intervention in the management of patients with delirium. To date the evidence on the impact of CPO on delirium outcomes yields mixed results. </w:t>
      </w:r>
    </w:p>
    <w:p w:rsidR="00C34C46" w:rsidRPr="00C34C46" w:rsidRDefault="00C34C46" w:rsidP="00C34C46">
      <w:pPr>
        <w:rPr>
          <w:rFonts w:ascii="Arial" w:hAnsi="Arial" w:cs="Arial"/>
          <w:lang w:val="en-US" w:bidi="en-US"/>
        </w:rPr>
      </w:pPr>
      <w:r w:rsidRPr="00C34C46">
        <w:rPr>
          <w:rFonts w:ascii="Arial" w:hAnsi="Arial" w:cs="Arial"/>
          <w:lang w:val="en-US" w:bidi="en-US"/>
        </w:rPr>
        <w:t>Objective</w:t>
      </w:r>
    </w:p>
    <w:p w:rsidR="00C34C46" w:rsidRPr="00C34C46" w:rsidRDefault="00C34C46" w:rsidP="00C34C46">
      <w:pPr>
        <w:rPr>
          <w:rFonts w:ascii="Arial" w:hAnsi="Arial" w:cs="Arial"/>
          <w:lang w:val="en-US" w:bidi="en-US"/>
        </w:rPr>
      </w:pPr>
    </w:p>
    <w:p w:rsidR="00C34C46" w:rsidRPr="00C34C46" w:rsidRDefault="00C34C46" w:rsidP="00C34C46">
      <w:pPr>
        <w:rPr>
          <w:rFonts w:ascii="Arial" w:hAnsi="Arial" w:cs="Arial"/>
          <w:lang w:val="en-US" w:bidi="en-US"/>
        </w:rPr>
      </w:pPr>
      <w:r w:rsidRPr="00C34C46">
        <w:rPr>
          <w:rFonts w:ascii="Arial" w:hAnsi="Arial" w:cs="Arial"/>
          <w:lang w:val="en-US" w:bidi="en-US"/>
        </w:rPr>
        <w:t xml:space="preserve">To evaluate the utility of constant personal observation (CPO) in management of delirium. </w:t>
      </w:r>
    </w:p>
    <w:p w:rsidR="00C34C46" w:rsidRPr="00C34C46" w:rsidRDefault="00C34C46" w:rsidP="00C34C46">
      <w:pPr>
        <w:rPr>
          <w:rFonts w:ascii="Arial" w:hAnsi="Arial" w:cs="Arial"/>
          <w:lang w:val="en-US" w:bidi="en-US"/>
        </w:rPr>
      </w:pPr>
    </w:p>
    <w:p w:rsidR="00C34C46" w:rsidRPr="00C34C46" w:rsidRDefault="00C34C46" w:rsidP="00C34C46">
      <w:pPr>
        <w:rPr>
          <w:rFonts w:ascii="Arial" w:hAnsi="Arial" w:cs="Arial"/>
          <w:lang w:val="en-US" w:bidi="en-US"/>
        </w:rPr>
      </w:pPr>
      <w:r w:rsidRPr="00C34C46">
        <w:rPr>
          <w:rFonts w:ascii="Arial" w:hAnsi="Arial" w:cs="Arial"/>
          <w:lang w:val="en-US" w:bidi="en-US"/>
        </w:rPr>
        <w:t>Method</w:t>
      </w:r>
    </w:p>
    <w:p w:rsidR="00C34C46" w:rsidRPr="00C34C46" w:rsidRDefault="00C34C46" w:rsidP="00C34C46">
      <w:pPr>
        <w:rPr>
          <w:rFonts w:ascii="Arial" w:hAnsi="Arial" w:cs="Arial"/>
          <w:lang w:val="en-US" w:bidi="en-US"/>
        </w:rPr>
      </w:pPr>
    </w:p>
    <w:p w:rsidR="00C34C46" w:rsidRDefault="00C34C46" w:rsidP="00C34C46">
      <w:pPr>
        <w:rPr>
          <w:rFonts w:ascii="Arial" w:hAnsi="Arial" w:cs="Arial"/>
          <w:lang w:val="en-US" w:bidi="en-US"/>
        </w:rPr>
      </w:pPr>
      <w:r w:rsidRPr="00C34C46">
        <w:rPr>
          <w:rFonts w:ascii="Arial" w:hAnsi="Arial" w:cs="Arial"/>
          <w:lang w:val="en-US" w:bidi="en-US"/>
        </w:rPr>
        <w:t xml:space="preserve">A retrospective study including 191 (N) patients aged 65 and older admitted to acute medical and surgical wards in a tertiary hospital over 4 months. Inclusion criteria was the documented diagnosis of delirium anytime during admission. Exclusion criteria was age less than 65 and palliative care patient. </w:t>
      </w:r>
    </w:p>
    <w:p w:rsidR="00C34C46" w:rsidRPr="00C34C46" w:rsidRDefault="00C34C46" w:rsidP="00C34C46">
      <w:pPr>
        <w:rPr>
          <w:rFonts w:ascii="Arial" w:hAnsi="Arial" w:cs="Arial"/>
          <w:lang w:val="en-US" w:bidi="en-US"/>
        </w:rPr>
      </w:pPr>
      <w:r w:rsidRPr="00C34C46">
        <w:rPr>
          <w:rFonts w:ascii="Arial" w:hAnsi="Arial" w:cs="Arial"/>
          <w:lang w:val="en-US" w:bidi="en-US"/>
        </w:rPr>
        <w:t>Results</w:t>
      </w:r>
    </w:p>
    <w:p w:rsidR="00C34C46" w:rsidRPr="00C34C46" w:rsidRDefault="00C34C46" w:rsidP="00C34C46">
      <w:pPr>
        <w:rPr>
          <w:rFonts w:ascii="Arial" w:hAnsi="Arial" w:cs="Arial"/>
          <w:lang w:val="en-US" w:bidi="en-US"/>
        </w:rPr>
      </w:pPr>
    </w:p>
    <w:tbl>
      <w:tblPr>
        <w:tblW w:w="80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0"/>
        <w:gridCol w:w="1760"/>
        <w:gridCol w:w="1660"/>
        <w:gridCol w:w="1460"/>
      </w:tblGrid>
      <w:tr w:rsidR="00C34C46" w:rsidRPr="00C34C46" w:rsidTr="00C34C46">
        <w:trPr>
          <w:trHeight w:val="876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51" w:type="dxa"/>
              <w:bottom w:w="0" w:type="dxa"/>
              <w:right w:w="51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b/>
                <w:bCs/>
                <w:lang w:bidi="en-US"/>
              </w:rPr>
              <w:t> </w:t>
            </w:r>
          </w:p>
        </w:tc>
        <w:tc>
          <w:tcPr>
            <w:tcW w:w="17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51" w:type="dxa"/>
              <w:bottom w:w="0" w:type="dxa"/>
              <w:right w:w="51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b/>
                <w:bCs/>
                <w:lang w:bidi="en-US"/>
              </w:rPr>
              <w:t>CPO N=59</w:t>
            </w:r>
          </w:p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b/>
                <w:bCs/>
                <w:lang w:bidi="en-US"/>
              </w:rPr>
              <w:t>%(n)</w:t>
            </w:r>
          </w:p>
        </w:tc>
        <w:tc>
          <w:tcPr>
            <w:tcW w:w="16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51" w:type="dxa"/>
              <w:bottom w:w="0" w:type="dxa"/>
              <w:right w:w="51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b/>
                <w:bCs/>
                <w:lang w:bidi="en-US"/>
              </w:rPr>
              <w:t>Non-CPO N=132</w:t>
            </w:r>
          </w:p>
        </w:tc>
        <w:tc>
          <w:tcPr>
            <w:tcW w:w="14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51" w:type="dxa"/>
              <w:bottom w:w="0" w:type="dxa"/>
              <w:right w:w="51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b/>
                <w:bCs/>
                <w:lang w:bidi="en-US"/>
              </w:rPr>
              <w:t>p-value</w:t>
            </w:r>
          </w:p>
        </w:tc>
      </w:tr>
      <w:tr w:rsidR="00C34C46" w:rsidRPr="00C34C46" w:rsidTr="00C34C46">
        <w:trPr>
          <w:trHeight w:val="584"/>
        </w:trPr>
        <w:tc>
          <w:tcPr>
            <w:tcW w:w="320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51" w:type="dxa"/>
              <w:bottom w:w="0" w:type="dxa"/>
              <w:right w:w="51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b/>
                <w:bCs/>
                <w:lang w:bidi="en-US"/>
              </w:rPr>
              <w:t>Age (mean)</w:t>
            </w:r>
          </w:p>
        </w:tc>
        <w:tc>
          <w:tcPr>
            <w:tcW w:w="17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51" w:type="dxa"/>
              <w:bottom w:w="0" w:type="dxa"/>
              <w:right w:w="51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val="en-US" w:bidi="en-US"/>
              </w:rPr>
              <w:t>82.8+/-6.1</w:t>
            </w:r>
          </w:p>
        </w:tc>
        <w:tc>
          <w:tcPr>
            <w:tcW w:w="16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51" w:type="dxa"/>
              <w:bottom w:w="0" w:type="dxa"/>
              <w:right w:w="51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val="en-US" w:bidi="en-US"/>
              </w:rPr>
              <w:t>83.8+/-7.5</w:t>
            </w:r>
          </w:p>
        </w:tc>
        <w:tc>
          <w:tcPr>
            <w:tcW w:w="14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51" w:type="dxa"/>
              <w:bottom w:w="0" w:type="dxa"/>
              <w:right w:w="51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0.3696</w:t>
            </w:r>
          </w:p>
        </w:tc>
      </w:tr>
      <w:tr w:rsidR="00C34C46" w:rsidRPr="00C34C46" w:rsidTr="00C34C46">
        <w:trPr>
          <w:trHeight w:val="584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51" w:type="dxa"/>
              <w:bottom w:w="0" w:type="dxa"/>
              <w:right w:w="51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b/>
                <w:bCs/>
                <w:lang w:bidi="en-US"/>
              </w:rPr>
              <w:t>%Male</w:t>
            </w:r>
          </w:p>
        </w:tc>
        <w:tc>
          <w:tcPr>
            <w:tcW w:w="17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51" w:type="dxa"/>
              <w:bottom w:w="0" w:type="dxa"/>
              <w:right w:w="51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55.9 (33)</w:t>
            </w:r>
          </w:p>
        </w:tc>
        <w:tc>
          <w:tcPr>
            <w:tcW w:w="1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51" w:type="dxa"/>
              <w:bottom w:w="0" w:type="dxa"/>
              <w:right w:w="51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35.6</w:t>
            </w:r>
          </w:p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(47)</w:t>
            </w:r>
          </w:p>
        </w:tc>
        <w:tc>
          <w:tcPr>
            <w:tcW w:w="14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51" w:type="dxa"/>
              <w:bottom w:w="0" w:type="dxa"/>
              <w:right w:w="51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0.0088</w:t>
            </w:r>
          </w:p>
        </w:tc>
      </w:tr>
      <w:tr w:rsidR="00C34C46" w:rsidRPr="00C34C46" w:rsidTr="00C34C46">
        <w:trPr>
          <w:trHeight w:val="1460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51" w:type="dxa"/>
              <w:bottom w:w="0" w:type="dxa"/>
              <w:right w:w="51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b/>
                <w:bCs/>
                <w:lang w:bidi="en-US"/>
              </w:rPr>
              <w:t>Source of Admission</w:t>
            </w:r>
          </w:p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b/>
                <w:bCs/>
                <w:lang w:bidi="en-US"/>
              </w:rPr>
              <w:t xml:space="preserve">    Home</w:t>
            </w:r>
          </w:p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b/>
                <w:bCs/>
                <w:lang w:bidi="en-US"/>
              </w:rPr>
              <w:t xml:space="preserve">    RACF</w:t>
            </w:r>
          </w:p>
        </w:tc>
        <w:tc>
          <w:tcPr>
            <w:tcW w:w="17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51" w:type="dxa"/>
              <w:bottom w:w="0" w:type="dxa"/>
              <w:right w:w="51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 </w:t>
            </w:r>
          </w:p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66.1 (39)</w:t>
            </w:r>
          </w:p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33.9 (20)</w:t>
            </w:r>
          </w:p>
        </w:tc>
        <w:tc>
          <w:tcPr>
            <w:tcW w:w="1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51" w:type="dxa"/>
              <w:bottom w:w="0" w:type="dxa"/>
              <w:right w:w="51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 </w:t>
            </w:r>
          </w:p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77.3 (102)</w:t>
            </w:r>
          </w:p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22.7 (30)</w:t>
            </w:r>
          </w:p>
        </w:tc>
        <w:tc>
          <w:tcPr>
            <w:tcW w:w="14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51" w:type="dxa"/>
              <w:bottom w:w="0" w:type="dxa"/>
              <w:right w:w="51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 </w:t>
            </w:r>
          </w:p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0.1046</w:t>
            </w:r>
          </w:p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0.1046</w:t>
            </w:r>
          </w:p>
        </w:tc>
      </w:tr>
      <w:tr w:rsidR="00C34C46" w:rsidRPr="00C34C46" w:rsidTr="00C34C46">
        <w:trPr>
          <w:trHeight w:val="1168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51" w:type="dxa"/>
              <w:bottom w:w="0" w:type="dxa"/>
              <w:right w:w="51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b/>
                <w:bCs/>
                <w:lang w:bidi="en-US"/>
              </w:rPr>
              <w:t>Diagnosis of cognitive impairment on admission</w:t>
            </w:r>
          </w:p>
        </w:tc>
        <w:tc>
          <w:tcPr>
            <w:tcW w:w="17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51" w:type="dxa"/>
              <w:bottom w:w="0" w:type="dxa"/>
              <w:right w:w="51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 </w:t>
            </w:r>
          </w:p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52.5 (31)</w:t>
            </w:r>
          </w:p>
        </w:tc>
        <w:tc>
          <w:tcPr>
            <w:tcW w:w="1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51" w:type="dxa"/>
              <w:bottom w:w="0" w:type="dxa"/>
              <w:right w:w="51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 </w:t>
            </w:r>
          </w:p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29.5 (39)</w:t>
            </w:r>
          </w:p>
        </w:tc>
        <w:tc>
          <w:tcPr>
            <w:tcW w:w="14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51" w:type="dxa"/>
              <w:bottom w:w="0" w:type="dxa"/>
              <w:right w:w="51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 </w:t>
            </w:r>
          </w:p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0.8348</w:t>
            </w:r>
          </w:p>
        </w:tc>
      </w:tr>
      <w:tr w:rsidR="00C34C46" w:rsidRPr="00C34C46" w:rsidTr="00C34C46">
        <w:trPr>
          <w:trHeight w:val="584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51" w:type="dxa"/>
              <w:bottom w:w="0" w:type="dxa"/>
              <w:right w:w="51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b/>
                <w:bCs/>
                <w:lang w:bidi="en-US"/>
              </w:rPr>
              <w:t>Depression</w:t>
            </w:r>
          </w:p>
        </w:tc>
        <w:tc>
          <w:tcPr>
            <w:tcW w:w="17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51" w:type="dxa"/>
              <w:bottom w:w="0" w:type="dxa"/>
              <w:right w:w="51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37.2 (22)</w:t>
            </w:r>
          </w:p>
        </w:tc>
        <w:tc>
          <w:tcPr>
            <w:tcW w:w="1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51" w:type="dxa"/>
              <w:bottom w:w="0" w:type="dxa"/>
              <w:right w:w="51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31.0 (41)</w:t>
            </w:r>
          </w:p>
        </w:tc>
        <w:tc>
          <w:tcPr>
            <w:tcW w:w="14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51" w:type="dxa"/>
              <w:bottom w:w="0" w:type="dxa"/>
              <w:right w:w="51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0.706</w:t>
            </w:r>
          </w:p>
        </w:tc>
      </w:tr>
      <w:tr w:rsidR="00C34C46" w:rsidRPr="00C34C46" w:rsidTr="00C34C46">
        <w:trPr>
          <w:trHeight w:val="2044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51" w:type="dxa"/>
              <w:bottom w:w="0" w:type="dxa"/>
              <w:right w:w="51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b/>
                <w:bCs/>
                <w:lang w:bidi="en-US"/>
              </w:rPr>
              <w:lastRenderedPageBreak/>
              <w:t>Sensory impairment</w:t>
            </w:r>
          </w:p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b/>
                <w:bCs/>
                <w:lang w:bidi="en-US"/>
              </w:rPr>
              <w:t xml:space="preserve">  Hearing</w:t>
            </w:r>
          </w:p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b/>
                <w:bCs/>
                <w:lang w:bidi="en-US"/>
              </w:rPr>
              <w:t xml:space="preserve">  Vision</w:t>
            </w:r>
          </w:p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b/>
                <w:bCs/>
                <w:lang w:bidi="en-US"/>
              </w:rPr>
              <w:t xml:space="preserve">  Both</w:t>
            </w:r>
          </w:p>
        </w:tc>
        <w:tc>
          <w:tcPr>
            <w:tcW w:w="17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51" w:type="dxa"/>
              <w:bottom w:w="0" w:type="dxa"/>
              <w:right w:w="51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 </w:t>
            </w:r>
          </w:p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33.9 (20)</w:t>
            </w:r>
          </w:p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32.2 (19)</w:t>
            </w:r>
          </w:p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13.6 (8)</w:t>
            </w:r>
          </w:p>
        </w:tc>
        <w:tc>
          <w:tcPr>
            <w:tcW w:w="1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51" w:type="dxa"/>
              <w:bottom w:w="0" w:type="dxa"/>
              <w:right w:w="51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 </w:t>
            </w:r>
          </w:p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22.0 (29)</w:t>
            </w:r>
          </w:p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25.8 (34)</w:t>
            </w:r>
          </w:p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9.8 (13)</w:t>
            </w:r>
          </w:p>
        </w:tc>
        <w:tc>
          <w:tcPr>
            <w:tcW w:w="14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51" w:type="dxa"/>
              <w:bottom w:w="0" w:type="dxa"/>
              <w:right w:w="51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 </w:t>
            </w:r>
          </w:p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0.0828</w:t>
            </w:r>
          </w:p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0.3628</w:t>
            </w:r>
          </w:p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0.4388</w:t>
            </w:r>
          </w:p>
        </w:tc>
      </w:tr>
      <w:tr w:rsidR="00C34C46" w:rsidRPr="00C34C46" w:rsidTr="00C34C46">
        <w:trPr>
          <w:trHeight w:val="876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51" w:type="dxa"/>
              <w:bottom w:w="0" w:type="dxa"/>
              <w:right w:w="51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b/>
                <w:bCs/>
                <w:lang w:bidi="en-US"/>
              </w:rPr>
              <w:t>Antipsychotic use on admission</w:t>
            </w:r>
          </w:p>
        </w:tc>
        <w:tc>
          <w:tcPr>
            <w:tcW w:w="17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51" w:type="dxa"/>
              <w:bottom w:w="0" w:type="dxa"/>
              <w:right w:w="51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23.7 (14)</w:t>
            </w:r>
          </w:p>
        </w:tc>
        <w:tc>
          <w:tcPr>
            <w:tcW w:w="1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51" w:type="dxa"/>
              <w:bottom w:w="0" w:type="dxa"/>
              <w:right w:w="51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13.6 (18)</w:t>
            </w:r>
          </w:p>
        </w:tc>
        <w:tc>
          <w:tcPr>
            <w:tcW w:w="14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51" w:type="dxa"/>
              <w:bottom w:w="0" w:type="dxa"/>
              <w:right w:w="51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0.0847</w:t>
            </w:r>
          </w:p>
        </w:tc>
      </w:tr>
      <w:tr w:rsidR="00C34C46" w:rsidRPr="00C34C46" w:rsidTr="00C34C46">
        <w:trPr>
          <w:trHeight w:val="876"/>
        </w:trPr>
        <w:tc>
          <w:tcPr>
            <w:tcW w:w="3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51" w:type="dxa"/>
              <w:bottom w:w="0" w:type="dxa"/>
              <w:right w:w="51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b/>
                <w:bCs/>
                <w:lang w:bidi="en-US"/>
              </w:rPr>
              <w:t>Benzodiazepine use on admission</w:t>
            </w:r>
          </w:p>
        </w:tc>
        <w:tc>
          <w:tcPr>
            <w:tcW w:w="17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51" w:type="dxa"/>
              <w:bottom w:w="0" w:type="dxa"/>
              <w:right w:w="51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22.0 (13)</w:t>
            </w:r>
          </w:p>
        </w:tc>
        <w:tc>
          <w:tcPr>
            <w:tcW w:w="1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51" w:type="dxa"/>
              <w:bottom w:w="0" w:type="dxa"/>
              <w:right w:w="51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18.1 (24)</w:t>
            </w:r>
          </w:p>
        </w:tc>
        <w:tc>
          <w:tcPr>
            <w:tcW w:w="14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51" w:type="dxa"/>
              <w:bottom w:w="0" w:type="dxa"/>
              <w:right w:w="51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0.5291</w:t>
            </w:r>
          </w:p>
        </w:tc>
      </w:tr>
    </w:tbl>
    <w:p w:rsidR="00C34C46" w:rsidRDefault="00C34C46" w:rsidP="00C34C46">
      <w:pPr>
        <w:rPr>
          <w:rFonts w:ascii="Arial" w:hAnsi="Arial" w:cs="Arial"/>
          <w:lang w:val="en-US" w:bidi="en-US"/>
        </w:rPr>
      </w:pPr>
    </w:p>
    <w:p w:rsidR="00C34C46" w:rsidRPr="00C34C46" w:rsidRDefault="00C34C46" w:rsidP="00C34C46">
      <w:pPr>
        <w:rPr>
          <w:rFonts w:ascii="Arial" w:hAnsi="Arial" w:cs="Arial"/>
          <w:lang w:val="en-AU" w:bidi="en-US"/>
        </w:rPr>
      </w:pPr>
      <w:r w:rsidRPr="00C34C46">
        <w:rPr>
          <w:rFonts w:ascii="Arial" w:hAnsi="Arial" w:cs="Arial"/>
          <w:lang w:val="en-US" w:bidi="en-US"/>
        </w:rPr>
        <w:t>Table.1 Demographic and Delirium Risk Factors</w:t>
      </w:r>
    </w:p>
    <w:p w:rsidR="00C34C46" w:rsidRDefault="00C34C46" w:rsidP="00C34C46">
      <w:pPr>
        <w:rPr>
          <w:rFonts w:ascii="Arial" w:hAnsi="Arial" w:cs="Arial"/>
          <w:lang w:val="en-US" w:bidi="en-US"/>
        </w:rPr>
      </w:pPr>
    </w:p>
    <w:tbl>
      <w:tblPr>
        <w:tblW w:w="10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6"/>
        <w:gridCol w:w="1924"/>
        <w:gridCol w:w="2385"/>
        <w:gridCol w:w="2385"/>
      </w:tblGrid>
      <w:tr w:rsidR="00C34C46" w:rsidRPr="00C34C46" w:rsidTr="00C34C46">
        <w:trPr>
          <w:trHeight w:val="1737"/>
        </w:trPr>
        <w:tc>
          <w:tcPr>
            <w:tcW w:w="330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b/>
                <w:bCs/>
                <w:lang w:bidi="en-US"/>
              </w:rPr>
              <w:t>Outcomes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b/>
                <w:bCs/>
                <w:lang w:bidi="en-US"/>
              </w:rPr>
              <w:t>CPO N=59</w:t>
            </w:r>
          </w:p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b/>
                <w:bCs/>
                <w:lang w:bidi="en-US"/>
              </w:rPr>
              <w:t>%(n)</w:t>
            </w:r>
          </w:p>
        </w:tc>
        <w:tc>
          <w:tcPr>
            <w:tcW w:w="238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b/>
                <w:bCs/>
                <w:lang w:bidi="en-US"/>
              </w:rPr>
              <w:t xml:space="preserve">Non-CPO N=132 </w:t>
            </w:r>
          </w:p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b/>
                <w:bCs/>
                <w:lang w:bidi="en-US"/>
              </w:rPr>
              <w:t>%(n)</w:t>
            </w:r>
          </w:p>
        </w:tc>
        <w:tc>
          <w:tcPr>
            <w:tcW w:w="238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b/>
                <w:bCs/>
                <w:lang w:bidi="en-US"/>
              </w:rPr>
              <w:t>P-value</w:t>
            </w:r>
          </w:p>
        </w:tc>
      </w:tr>
      <w:tr w:rsidR="00C34C46" w:rsidRPr="00C34C46" w:rsidTr="00C34C46">
        <w:trPr>
          <w:trHeight w:val="579"/>
        </w:trPr>
        <w:tc>
          <w:tcPr>
            <w:tcW w:w="330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b/>
                <w:bCs/>
                <w:lang w:bidi="en-US"/>
              </w:rPr>
              <w:t>Malnutrition</w:t>
            </w:r>
          </w:p>
        </w:tc>
        <w:tc>
          <w:tcPr>
            <w:tcW w:w="19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13.6 (8)</w:t>
            </w:r>
          </w:p>
        </w:tc>
        <w:tc>
          <w:tcPr>
            <w:tcW w:w="23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10.6 (14)</w:t>
            </w:r>
          </w:p>
        </w:tc>
        <w:tc>
          <w:tcPr>
            <w:tcW w:w="23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0.5212</w:t>
            </w:r>
          </w:p>
        </w:tc>
      </w:tr>
      <w:tr w:rsidR="00C34C46" w:rsidRPr="00C34C46" w:rsidTr="00C34C46">
        <w:trPr>
          <w:trHeight w:val="579"/>
        </w:trPr>
        <w:tc>
          <w:tcPr>
            <w:tcW w:w="3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b/>
                <w:bCs/>
                <w:lang w:bidi="en-US"/>
              </w:rPr>
              <w:t>Pressure Injury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16.9 (10)</w:t>
            </w:r>
          </w:p>
        </w:tc>
        <w:tc>
          <w:tcPr>
            <w:tcW w:w="23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9.8 (13)</w:t>
            </w:r>
          </w:p>
        </w:tc>
        <w:tc>
          <w:tcPr>
            <w:tcW w:w="23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0.1640</w:t>
            </w:r>
          </w:p>
        </w:tc>
      </w:tr>
      <w:tr w:rsidR="00C34C46" w:rsidRPr="00C34C46" w:rsidTr="00C34C46">
        <w:trPr>
          <w:trHeight w:val="1737"/>
        </w:trPr>
        <w:tc>
          <w:tcPr>
            <w:tcW w:w="3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b/>
                <w:bCs/>
                <w:lang w:bidi="en-US"/>
              </w:rPr>
              <w:t>Hospital acquired infection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8.5 (5)</w:t>
            </w:r>
          </w:p>
        </w:tc>
        <w:tc>
          <w:tcPr>
            <w:tcW w:w="23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8.3 (11)</w:t>
            </w:r>
          </w:p>
        </w:tc>
        <w:tc>
          <w:tcPr>
            <w:tcW w:w="23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0.9633</w:t>
            </w:r>
          </w:p>
        </w:tc>
      </w:tr>
      <w:tr w:rsidR="00C34C46" w:rsidRPr="00C34C46" w:rsidTr="00C34C46">
        <w:trPr>
          <w:trHeight w:val="579"/>
        </w:trPr>
        <w:tc>
          <w:tcPr>
            <w:tcW w:w="3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b/>
                <w:bCs/>
                <w:lang w:bidi="en-US"/>
              </w:rPr>
              <w:t>Falls rate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18.6 (11)</w:t>
            </w:r>
          </w:p>
        </w:tc>
        <w:tc>
          <w:tcPr>
            <w:tcW w:w="23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13.6 (18)</w:t>
            </w:r>
          </w:p>
        </w:tc>
        <w:tc>
          <w:tcPr>
            <w:tcW w:w="23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0.6471</w:t>
            </w:r>
          </w:p>
        </w:tc>
      </w:tr>
      <w:tr w:rsidR="00C34C46" w:rsidRPr="00C34C46" w:rsidTr="00C34C46">
        <w:trPr>
          <w:trHeight w:val="1217"/>
        </w:trPr>
        <w:tc>
          <w:tcPr>
            <w:tcW w:w="3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b/>
                <w:bCs/>
                <w:lang w:bidi="en-US"/>
              </w:rPr>
              <w:t>Mortality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5.0 (3)</w:t>
            </w:r>
          </w:p>
        </w:tc>
        <w:tc>
          <w:tcPr>
            <w:tcW w:w="23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6.0 (8)</w:t>
            </w:r>
          </w:p>
        </w:tc>
        <w:tc>
          <w:tcPr>
            <w:tcW w:w="23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0.7834</w:t>
            </w:r>
          </w:p>
        </w:tc>
      </w:tr>
    </w:tbl>
    <w:p w:rsidR="00C34C46" w:rsidRDefault="00C34C46" w:rsidP="00C34C46">
      <w:pPr>
        <w:rPr>
          <w:rFonts w:ascii="Arial" w:hAnsi="Arial" w:cs="Arial"/>
          <w:lang w:val="en-US" w:bidi="en-US"/>
        </w:rPr>
      </w:pPr>
      <w:r>
        <w:rPr>
          <w:rFonts w:ascii="Arial" w:hAnsi="Arial" w:cs="Arial"/>
          <w:lang w:val="en-US" w:bidi="en-US"/>
        </w:rPr>
        <w:t>Table.2 Clinical Outcomes</w:t>
      </w:r>
    </w:p>
    <w:p w:rsidR="00C34C46" w:rsidRDefault="00C34C46" w:rsidP="00C34C46">
      <w:pPr>
        <w:rPr>
          <w:rFonts w:ascii="Arial" w:hAnsi="Arial" w:cs="Arial"/>
          <w:lang w:val="en-US" w:bidi="en-US"/>
        </w:rPr>
      </w:pPr>
    </w:p>
    <w:tbl>
      <w:tblPr>
        <w:tblW w:w="10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6"/>
        <w:gridCol w:w="1924"/>
        <w:gridCol w:w="2385"/>
        <w:gridCol w:w="2385"/>
      </w:tblGrid>
      <w:tr w:rsidR="00C34C46" w:rsidRPr="00C34C46" w:rsidTr="00C34C46">
        <w:trPr>
          <w:trHeight w:val="1737"/>
        </w:trPr>
        <w:tc>
          <w:tcPr>
            <w:tcW w:w="330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b/>
                <w:bCs/>
                <w:lang w:bidi="en-US"/>
              </w:rPr>
              <w:t>Outcomes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b/>
                <w:bCs/>
                <w:lang w:bidi="en-US"/>
              </w:rPr>
              <w:t>CPO N=59</w:t>
            </w:r>
          </w:p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b/>
                <w:bCs/>
                <w:lang w:bidi="en-US"/>
              </w:rPr>
              <w:t>%(n)</w:t>
            </w:r>
          </w:p>
        </w:tc>
        <w:tc>
          <w:tcPr>
            <w:tcW w:w="238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b/>
                <w:bCs/>
                <w:lang w:bidi="en-US"/>
              </w:rPr>
              <w:t xml:space="preserve">Non-CPO N=132 </w:t>
            </w:r>
          </w:p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b/>
                <w:bCs/>
                <w:lang w:bidi="en-US"/>
              </w:rPr>
              <w:t>%(n)</w:t>
            </w:r>
          </w:p>
        </w:tc>
        <w:tc>
          <w:tcPr>
            <w:tcW w:w="238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b/>
                <w:bCs/>
                <w:lang w:bidi="en-US"/>
              </w:rPr>
              <w:t>P-value</w:t>
            </w:r>
          </w:p>
        </w:tc>
      </w:tr>
      <w:tr w:rsidR="00C34C46" w:rsidRPr="00C34C46" w:rsidTr="00C34C46">
        <w:trPr>
          <w:trHeight w:val="579"/>
        </w:trPr>
        <w:tc>
          <w:tcPr>
            <w:tcW w:w="330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b/>
                <w:bCs/>
                <w:lang w:bidi="en-US"/>
              </w:rPr>
              <w:lastRenderedPageBreak/>
              <w:t>Malnutrition</w:t>
            </w:r>
          </w:p>
        </w:tc>
        <w:tc>
          <w:tcPr>
            <w:tcW w:w="19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13.6 (8)</w:t>
            </w:r>
          </w:p>
        </w:tc>
        <w:tc>
          <w:tcPr>
            <w:tcW w:w="23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10.6 (14)</w:t>
            </w:r>
          </w:p>
        </w:tc>
        <w:tc>
          <w:tcPr>
            <w:tcW w:w="23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0.5212</w:t>
            </w:r>
          </w:p>
        </w:tc>
      </w:tr>
      <w:tr w:rsidR="00C34C46" w:rsidRPr="00C34C46" w:rsidTr="00C34C46">
        <w:trPr>
          <w:trHeight w:val="579"/>
        </w:trPr>
        <w:tc>
          <w:tcPr>
            <w:tcW w:w="3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b/>
                <w:bCs/>
                <w:lang w:bidi="en-US"/>
              </w:rPr>
              <w:t>Pressure Injury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16.9 (10)</w:t>
            </w:r>
          </w:p>
        </w:tc>
        <w:tc>
          <w:tcPr>
            <w:tcW w:w="23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9.8 (13)</w:t>
            </w:r>
          </w:p>
        </w:tc>
        <w:tc>
          <w:tcPr>
            <w:tcW w:w="23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0.1640</w:t>
            </w:r>
          </w:p>
        </w:tc>
      </w:tr>
      <w:tr w:rsidR="00C34C46" w:rsidRPr="00C34C46" w:rsidTr="00C34C46">
        <w:trPr>
          <w:trHeight w:val="1737"/>
        </w:trPr>
        <w:tc>
          <w:tcPr>
            <w:tcW w:w="3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b/>
                <w:bCs/>
                <w:lang w:bidi="en-US"/>
              </w:rPr>
              <w:t>Hospital acquired infection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8.5 (5)</w:t>
            </w:r>
          </w:p>
        </w:tc>
        <w:tc>
          <w:tcPr>
            <w:tcW w:w="23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8.3 (11)</w:t>
            </w:r>
          </w:p>
        </w:tc>
        <w:tc>
          <w:tcPr>
            <w:tcW w:w="23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0.9633</w:t>
            </w:r>
          </w:p>
        </w:tc>
      </w:tr>
      <w:tr w:rsidR="00C34C46" w:rsidRPr="00C34C46" w:rsidTr="00C34C46">
        <w:trPr>
          <w:trHeight w:val="579"/>
        </w:trPr>
        <w:tc>
          <w:tcPr>
            <w:tcW w:w="3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b/>
                <w:bCs/>
                <w:lang w:bidi="en-US"/>
              </w:rPr>
              <w:t>Falls rate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18.6 (11)</w:t>
            </w:r>
          </w:p>
        </w:tc>
        <w:tc>
          <w:tcPr>
            <w:tcW w:w="23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13.6 (18)</w:t>
            </w:r>
          </w:p>
        </w:tc>
        <w:tc>
          <w:tcPr>
            <w:tcW w:w="23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0.6471</w:t>
            </w:r>
          </w:p>
        </w:tc>
      </w:tr>
      <w:tr w:rsidR="00C34C46" w:rsidRPr="00C34C46" w:rsidTr="00C34C46">
        <w:trPr>
          <w:trHeight w:val="1217"/>
        </w:trPr>
        <w:tc>
          <w:tcPr>
            <w:tcW w:w="3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b/>
                <w:bCs/>
                <w:lang w:bidi="en-US"/>
              </w:rPr>
              <w:t>Mortality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5.0 (3)</w:t>
            </w:r>
          </w:p>
        </w:tc>
        <w:tc>
          <w:tcPr>
            <w:tcW w:w="23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6.0 (8)</w:t>
            </w:r>
          </w:p>
        </w:tc>
        <w:tc>
          <w:tcPr>
            <w:tcW w:w="23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34C46" w:rsidRPr="00C34C46" w:rsidRDefault="00C34C46" w:rsidP="00C34C46">
            <w:pPr>
              <w:rPr>
                <w:rFonts w:ascii="Arial" w:hAnsi="Arial" w:cs="Arial"/>
                <w:lang w:val="en-AU" w:bidi="en-US"/>
              </w:rPr>
            </w:pPr>
            <w:r w:rsidRPr="00C34C46">
              <w:rPr>
                <w:rFonts w:ascii="Arial" w:hAnsi="Arial" w:cs="Arial"/>
                <w:lang w:bidi="en-US"/>
              </w:rPr>
              <w:t>0.7834</w:t>
            </w:r>
          </w:p>
        </w:tc>
      </w:tr>
    </w:tbl>
    <w:p w:rsidR="00C34C46" w:rsidRDefault="00C34C46" w:rsidP="00C34C46">
      <w:pPr>
        <w:rPr>
          <w:rFonts w:ascii="Arial" w:hAnsi="Arial" w:cs="Arial"/>
          <w:lang w:val="en-US" w:bidi="en-US"/>
        </w:rPr>
      </w:pPr>
    </w:p>
    <w:p w:rsidR="00C34C46" w:rsidRDefault="00C34C46" w:rsidP="00C34C46">
      <w:pPr>
        <w:rPr>
          <w:rFonts w:ascii="Arial" w:hAnsi="Arial" w:cs="Arial"/>
          <w:lang w:val="en-US" w:bidi="en-US"/>
        </w:rPr>
      </w:pPr>
      <w:r>
        <w:rPr>
          <w:rFonts w:ascii="Arial" w:hAnsi="Arial" w:cs="Arial"/>
          <w:lang w:val="en-US" w:bidi="en-US"/>
        </w:rPr>
        <w:t>Table. 3 Delirium outcomes</w:t>
      </w:r>
    </w:p>
    <w:p w:rsidR="00C34C46" w:rsidRPr="00C34C46" w:rsidRDefault="00C34C46" w:rsidP="00C34C46">
      <w:pPr>
        <w:rPr>
          <w:rFonts w:ascii="Arial" w:hAnsi="Arial" w:cs="Arial"/>
          <w:lang w:val="en-US" w:bidi="en-US"/>
        </w:rPr>
      </w:pPr>
    </w:p>
    <w:p w:rsidR="00C34C46" w:rsidRPr="00C34C46" w:rsidRDefault="00C34C46" w:rsidP="00C34C46">
      <w:pPr>
        <w:spacing w:before="100" w:beforeAutospacing="1" w:after="100" w:afterAutospacing="1"/>
        <w:rPr>
          <w:rFonts w:ascii="Arial" w:eastAsia="Times New Roman" w:hAnsi="Arial" w:cs="Arial"/>
          <w:color w:val="000000"/>
          <w:lang w:val="en-AU"/>
        </w:rPr>
      </w:pPr>
      <w:r w:rsidRPr="00C34C46">
        <w:rPr>
          <w:rFonts w:ascii="Arial" w:eastAsia="Times New Roman" w:hAnsi="Arial" w:cs="Arial"/>
          <w:color w:val="000000"/>
          <w:lang w:val="en-AU"/>
        </w:rPr>
        <w:t>Conclusion</w:t>
      </w:r>
    </w:p>
    <w:p w:rsidR="00C34C46" w:rsidRPr="00C34C46" w:rsidRDefault="00C34C46" w:rsidP="00C34C46">
      <w:pPr>
        <w:spacing w:before="100" w:beforeAutospacing="1" w:after="100" w:afterAutospacing="1"/>
        <w:ind w:left="360"/>
        <w:rPr>
          <w:rFonts w:ascii="Arial" w:eastAsia="Times New Roman" w:hAnsi="Arial" w:cs="Arial"/>
          <w:color w:val="000000"/>
          <w:lang w:val="en-AU"/>
        </w:rPr>
      </w:pPr>
      <w:r w:rsidRPr="00C34C46">
        <w:rPr>
          <w:rFonts w:ascii="Arial" w:eastAsia="Times New Roman" w:hAnsi="Arial" w:cs="Arial"/>
          <w:color w:val="000000"/>
          <w:lang w:val="en-US"/>
        </w:rPr>
        <w:t xml:space="preserve">In our study, constant observation was </w:t>
      </w:r>
      <w:r>
        <w:rPr>
          <w:rFonts w:ascii="Arial" w:eastAsia="Times New Roman" w:hAnsi="Arial" w:cs="Arial"/>
          <w:color w:val="000000"/>
          <w:lang w:val="en-US"/>
        </w:rPr>
        <w:t xml:space="preserve">not associated with improved outcomes It is </w:t>
      </w:r>
      <w:r w:rsidRPr="00C34C46">
        <w:rPr>
          <w:rFonts w:ascii="Arial" w:eastAsia="Times New Roman" w:hAnsi="Arial" w:cs="Arial"/>
          <w:color w:val="000000"/>
          <w:lang w:val="en-US"/>
        </w:rPr>
        <w:t xml:space="preserve">associated with significant high burden of antipsychotic prescription and longer duration of delirium compared to non-CPO cohort. </w:t>
      </w:r>
    </w:p>
    <w:p w:rsidR="00C34C46" w:rsidRPr="00C34C46" w:rsidRDefault="00C34C46" w:rsidP="00C34C46">
      <w:pPr>
        <w:spacing w:before="100" w:beforeAutospacing="1" w:after="100" w:afterAutospacing="1"/>
        <w:ind w:left="360"/>
        <w:rPr>
          <w:rFonts w:ascii="Arial" w:eastAsia="Times New Roman" w:hAnsi="Arial" w:cs="Arial"/>
          <w:color w:val="000000"/>
          <w:lang w:val="en-AU"/>
        </w:rPr>
      </w:pPr>
      <w:r w:rsidRPr="00C34C46">
        <w:rPr>
          <w:rFonts w:ascii="Arial" w:eastAsia="Times New Roman" w:hAnsi="Arial" w:cs="Arial"/>
          <w:color w:val="000000"/>
          <w:lang w:val="en-US"/>
        </w:rPr>
        <w:t xml:space="preserve">We attributed these results to the higher level of risk of harm owing to </w:t>
      </w:r>
      <w:proofErr w:type="spellStart"/>
      <w:r w:rsidRPr="00C34C46">
        <w:rPr>
          <w:rFonts w:ascii="Arial" w:eastAsia="Times New Roman" w:hAnsi="Arial" w:cs="Arial"/>
          <w:color w:val="000000"/>
          <w:lang w:val="en-US"/>
        </w:rPr>
        <w:t>behavioural</w:t>
      </w:r>
      <w:proofErr w:type="spellEnd"/>
      <w:r w:rsidRPr="00C34C46">
        <w:rPr>
          <w:rFonts w:ascii="Arial" w:eastAsia="Times New Roman" w:hAnsi="Arial" w:cs="Arial"/>
          <w:color w:val="000000"/>
          <w:lang w:val="en-US"/>
        </w:rPr>
        <w:t xml:space="preserve"> symptoms as well as the delirium episode severity and duration.</w:t>
      </w:r>
    </w:p>
    <w:p w:rsidR="00C34C46" w:rsidRDefault="00C34C46" w:rsidP="00C34C46">
      <w:pPr>
        <w:spacing w:before="100" w:beforeAutospacing="1" w:after="100" w:afterAutospacing="1"/>
        <w:rPr>
          <w:rFonts w:ascii="Arial" w:eastAsia="Times New Roman" w:hAnsi="Arial" w:cs="Arial"/>
          <w:color w:val="000000"/>
          <w:lang w:val="en-AU"/>
        </w:rPr>
      </w:pPr>
    </w:p>
    <w:p w:rsidR="00C34C46" w:rsidRDefault="00C34C46" w:rsidP="00C34C46">
      <w:pPr>
        <w:spacing w:before="100" w:beforeAutospacing="1" w:after="100" w:afterAutospacing="1"/>
        <w:rPr>
          <w:rFonts w:ascii="Arial" w:eastAsia="Times New Roman" w:hAnsi="Arial" w:cs="Arial"/>
          <w:color w:val="000000"/>
          <w:lang w:val="en-AU"/>
        </w:rPr>
      </w:pPr>
      <w:r>
        <w:rPr>
          <w:rFonts w:ascii="Arial" w:eastAsia="Times New Roman" w:hAnsi="Arial" w:cs="Arial"/>
          <w:color w:val="000000"/>
          <w:lang w:val="en-AU"/>
        </w:rPr>
        <w:t>References</w:t>
      </w:r>
    </w:p>
    <w:p w:rsidR="00000000" w:rsidRPr="00C34C46" w:rsidRDefault="00496776" w:rsidP="00C34C46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lang w:val="en-AU"/>
        </w:rPr>
      </w:pPr>
      <w:proofErr w:type="spellStart"/>
      <w:r w:rsidRPr="00C34C46">
        <w:rPr>
          <w:rFonts w:ascii="Arial" w:eastAsia="Times New Roman" w:hAnsi="Arial" w:cs="Arial"/>
          <w:color w:val="000000"/>
          <w:lang w:val="en-AU"/>
        </w:rPr>
        <w:t>Leentjens</w:t>
      </w:r>
      <w:proofErr w:type="spellEnd"/>
      <w:r w:rsidRPr="00C34C46">
        <w:rPr>
          <w:rFonts w:ascii="Arial" w:eastAsia="Times New Roman" w:hAnsi="Arial" w:cs="Arial"/>
          <w:color w:val="000000"/>
          <w:lang w:val="en-AU"/>
        </w:rPr>
        <w:t xml:space="preserve">, A., </w:t>
      </w:r>
      <w:proofErr w:type="spellStart"/>
      <w:r w:rsidRPr="00C34C46">
        <w:rPr>
          <w:rFonts w:ascii="Arial" w:eastAsia="Times New Roman" w:hAnsi="Arial" w:cs="Arial"/>
          <w:color w:val="000000"/>
          <w:lang w:val="en-AU"/>
        </w:rPr>
        <w:t>Rundell</w:t>
      </w:r>
      <w:proofErr w:type="spellEnd"/>
      <w:r w:rsidRPr="00C34C46">
        <w:rPr>
          <w:rFonts w:ascii="Arial" w:eastAsia="Times New Roman" w:hAnsi="Arial" w:cs="Arial"/>
          <w:color w:val="000000"/>
          <w:lang w:val="en-AU"/>
        </w:rPr>
        <w:t xml:space="preserve">, J., </w:t>
      </w:r>
      <w:proofErr w:type="spellStart"/>
      <w:r w:rsidRPr="00C34C46">
        <w:rPr>
          <w:rFonts w:ascii="Arial" w:eastAsia="Times New Roman" w:hAnsi="Arial" w:cs="Arial"/>
          <w:color w:val="000000"/>
          <w:lang w:val="en-AU"/>
        </w:rPr>
        <w:t>Rummans</w:t>
      </w:r>
      <w:proofErr w:type="spellEnd"/>
      <w:r w:rsidRPr="00C34C46">
        <w:rPr>
          <w:rFonts w:ascii="Arial" w:eastAsia="Times New Roman" w:hAnsi="Arial" w:cs="Arial"/>
          <w:color w:val="000000"/>
          <w:lang w:val="en-AU"/>
        </w:rPr>
        <w:t>, T., Shim, J., Oldham, R</w:t>
      </w:r>
      <w:r w:rsidRPr="00C34C46">
        <w:rPr>
          <w:rFonts w:ascii="Arial" w:eastAsia="Times New Roman" w:hAnsi="Arial" w:cs="Arial"/>
          <w:color w:val="000000"/>
          <w:lang w:val="en-AU"/>
        </w:rPr>
        <w:t xml:space="preserve">., Peterson, L., Philbrick, K., </w:t>
      </w:r>
      <w:proofErr w:type="spellStart"/>
      <w:r w:rsidRPr="00C34C46">
        <w:rPr>
          <w:rFonts w:ascii="Arial" w:eastAsia="Times New Roman" w:hAnsi="Arial" w:cs="Arial"/>
          <w:color w:val="000000"/>
          <w:lang w:val="en-AU"/>
        </w:rPr>
        <w:t>Soellner</w:t>
      </w:r>
      <w:proofErr w:type="spellEnd"/>
      <w:r w:rsidRPr="00C34C46">
        <w:rPr>
          <w:rFonts w:ascii="Arial" w:eastAsia="Times New Roman" w:hAnsi="Arial" w:cs="Arial"/>
          <w:color w:val="000000"/>
          <w:lang w:val="en-AU"/>
        </w:rPr>
        <w:t xml:space="preserve">, W., Wolcott, D. and </w:t>
      </w:r>
      <w:proofErr w:type="spellStart"/>
      <w:r w:rsidRPr="00C34C46">
        <w:rPr>
          <w:rFonts w:ascii="Arial" w:eastAsia="Times New Roman" w:hAnsi="Arial" w:cs="Arial"/>
          <w:color w:val="000000"/>
          <w:lang w:val="en-AU"/>
        </w:rPr>
        <w:t>Freudenreich</w:t>
      </w:r>
      <w:proofErr w:type="spellEnd"/>
      <w:r w:rsidRPr="00C34C46">
        <w:rPr>
          <w:rFonts w:ascii="Arial" w:eastAsia="Times New Roman" w:hAnsi="Arial" w:cs="Arial"/>
          <w:color w:val="000000"/>
          <w:lang w:val="en-AU"/>
        </w:rPr>
        <w:t xml:space="preserve">, O. (2012). Delirium: An evidence-based medicine (EBM) monograph for psychosomatic medicine practice, </w:t>
      </w:r>
      <w:proofErr w:type="spellStart"/>
      <w:r w:rsidRPr="00C34C46">
        <w:rPr>
          <w:rFonts w:ascii="Arial" w:eastAsia="Times New Roman" w:hAnsi="Arial" w:cs="Arial"/>
          <w:color w:val="000000"/>
          <w:lang w:val="en-AU"/>
        </w:rPr>
        <w:t>comissioned</w:t>
      </w:r>
      <w:proofErr w:type="spellEnd"/>
      <w:r w:rsidRPr="00C34C46">
        <w:rPr>
          <w:rFonts w:ascii="Arial" w:eastAsia="Times New Roman" w:hAnsi="Arial" w:cs="Arial"/>
          <w:color w:val="000000"/>
          <w:lang w:val="en-AU"/>
        </w:rPr>
        <w:t xml:space="preserve"> by the Academy of Psychosomatic Medicine (APM) and the European Ass</w:t>
      </w:r>
      <w:r w:rsidRPr="00C34C46">
        <w:rPr>
          <w:rFonts w:ascii="Arial" w:eastAsia="Times New Roman" w:hAnsi="Arial" w:cs="Arial"/>
          <w:color w:val="000000"/>
          <w:lang w:val="en-AU"/>
        </w:rPr>
        <w:t>ociation of Consultation Liaison Psychiatry and Psychosomatics (EACLPP). </w:t>
      </w:r>
      <w:r w:rsidRPr="00C34C46">
        <w:rPr>
          <w:rFonts w:ascii="Arial" w:eastAsia="Times New Roman" w:hAnsi="Arial" w:cs="Arial"/>
          <w:i/>
          <w:iCs/>
          <w:color w:val="000000"/>
          <w:lang w:val="en-AU"/>
        </w:rPr>
        <w:t>Journal of Psychosomatic Research</w:t>
      </w:r>
      <w:r w:rsidRPr="00C34C46">
        <w:rPr>
          <w:rFonts w:ascii="Arial" w:eastAsia="Times New Roman" w:hAnsi="Arial" w:cs="Arial"/>
          <w:color w:val="000000"/>
          <w:lang w:val="en-AU"/>
        </w:rPr>
        <w:t>, 73(2), pp.149-152.</w:t>
      </w:r>
    </w:p>
    <w:p w:rsidR="00000000" w:rsidRPr="00C34C46" w:rsidRDefault="00496776" w:rsidP="00C34C46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lang w:val="en-AU"/>
        </w:rPr>
      </w:pPr>
      <w:r w:rsidRPr="00C34C46">
        <w:rPr>
          <w:rFonts w:ascii="Arial" w:eastAsia="Times New Roman" w:hAnsi="Arial" w:cs="Arial"/>
          <w:color w:val="000000"/>
          <w:lang w:val="en-AU"/>
        </w:rPr>
        <w:t>Inouye, S. (2006). Delirium in Older Persons. </w:t>
      </w:r>
      <w:r w:rsidRPr="00C34C46">
        <w:rPr>
          <w:rFonts w:ascii="Arial" w:eastAsia="Times New Roman" w:hAnsi="Arial" w:cs="Arial"/>
          <w:i/>
          <w:iCs/>
          <w:color w:val="000000"/>
          <w:lang w:val="en-AU"/>
        </w:rPr>
        <w:t>New England Journal of Medicine</w:t>
      </w:r>
      <w:r w:rsidRPr="00C34C46">
        <w:rPr>
          <w:rFonts w:ascii="Arial" w:eastAsia="Times New Roman" w:hAnsi="Arial" w:cs="Arial"/>
          <w:color w:val="000000"/>
          <w:lang w:val="en-AU"/>
        </w:rPr>
        <w:t>, 354(11), pp.1157-1165.</w:t>
      </w:r>
    </w:p>
    <w:p w:rsidR="00000000" w:rsidRPr="00C34C46" w:rsidRDefault="00496776" w:rsidP="00C34C46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lang w:val="en-AU"/>
        </w:rPr>
      </w:pPr>
      <w:r w:rsidRPr="00C34C46">
        <w:rPr>
          <w:rFonts w:ascii="Arial" w:eastAsia="Times New Roman" w:hAnsi="Arial" w:cs="Arial"/>
          <w:color w:val="000000"/>
          <w:lang w:val="en-AU"/>
        </w:rPr>
        <w:t xml:space="preserve">Davis, D., Muniz </w:t>
      </w:r>
      <w:proofErr w:type="spellStart"/>
      <w:r w:rsidRPr="00C34C46">
        <w:rPr>
          <w:rFonts w:ascii="Arial" w:eastAsia="Times New Roman" w:hAnsi="Arial" w:cs="Arial"/>
          <w:color w:val="000000"/>
          <w:lang w:val="en-AU"/>
        </w:rPr>
        <w:t>Terrera</w:t>
      </w:r>
      <w:proofErr w:type="spellEnd"/>
      <w:r w:rsidRPr="00C34C46">
        <w:rPr>
          <w:rFonts w:ascii="Arial" w:eastAsia="Times New Roman" w:hAnsi="Arial" w:cs="Arial"/>
          <w:color w:val="000000"/>
          <w:lang w:val="en-AU"/>
        </w:rPr>
        <w:t xml:space="preserve">, G., </w:t>
      </w:r>
      <w:proofErr w:type="spellStart"/>
      <w:r w:rsidRPr="00C34C46">
        <w:rPr>
          <w:rFonts w:ascii="Arial" w:eastAsia="Times New Roman" w:hAnsi="Arial" w:cs="Arial"/>
          <w:color w:val="000000"/>
          <w:lang w:val="en-AU"/>
        </w:rPr>
        <w:t>Keage</w:t>
      </w:r>
      <w:proofErr w:type="spellEnd"/>
      <w:r w:rsidRPr="00C34C46">
        <w:rPr>
          <w:rFonts w:ascii="Arial" w:eastAsia="Times New Roman" w:hAnsi="Arial" w:cs="Arial"/>
          <w:color w:val="000000"/>
          <w:lang w:val="en-AU"/>
        </w:rPr>
        <w:t xml:space="preserve">, H., </w:t>
      </w:r>
      <w:proofErr w:type="spellStart"/>
      <w:r w:rsidRPr="00C34C46">
        <w:rPr>
          <w:rFonts w:ascii="Arial" w:eastAsia="Times New Roman" w:hAnsi="Arial" w:cs="Arial"/>
          <w:color w:val="000000"/>
          <w:lang w:val="en-AU"/>
        </w:rPr>
        <w:t>Rahkonen</w:t>
      </w:r>
      <w:proofErr w:type="spellEnd"/>
      <w:r w:rsidRPr="00C34C46">
        <w:rPr>
          <w:rFonts w:ascii="Arial" w:eastAsia="Times New Roman" w:hAnsi="Arial" w:cs="Arial"/>
          <w:color w:val="000000"/>
          <w:lang w:val="en-AU"/>
        </w:rPr>
        <w:t xml:space="preserve">, T., </w:t>
      </w:r>
      <w:proofErr w:type="spellStart"/>
      <w:r w:rsidRPr="00C34C46">
        <w:rPr>
          <w:rFonts w:ascii="Arial" w:eastAsia="Times New Roman" w:hAnsi="Arial" w:cs="Arial"/>
          <w:color w:val="000000"/>
          <w:lang w:val="en-AU"/>
        </w:rPr>
        <w:t>O</w:t>
      </w:r>
      <w:r w:rsidRPr="00C34C46">
        <w:rPr>
          <w:rFonts w:ascii="Arial" w:eastAsia="Times New Roman" w:hAnsi="Arial" w:cs="Arial"/>
          <w:color w:val="000000"/>
          <w:lang w:val="en-AU"/>
        </w:rPr>
        <w:t>inas</w:t>
      </w:r>
      <w:proofErr w:type="spellEnd"/>
      <w:r w:rsidRPr="00C34C46">
        <w:rPr>
          <w:rFonts w:ascii="Arial" w:eastAsia="Times New Roman" w:hAnsi="Arial" w:cs="Arial"/>
          <w:color w:val="000000"/>
          <w:lang w:val="en-AU"/>
        </w:rPr>
        <w:t xml:space="preserve">, M., Matthews, F., Cunningham, C., </w:t>
      </w:r>
      <w:proofErr w:type="spellStart"/>
      <w:r w:rsidRPr="00C34C46">
        <w:rPr>
          <w:rFonts w:ascii="Arial" w:eastAsia="Times New Roman" w:hAnsi="Arial" w:cs="Arial"/>
          <w:color w:val="000000"/>
          <w:lang w:val="en-AU"/>
        </w:rPr>
        <w:t>Polvikoski</w:t>
      </w:r>
      <w:proofErr w:type="spellEnd"/>
      <w:r w:rsidRPr="00C34C46">
        <w:rPr>
          <w:rFonts w:ascii="Arial" w:eastAsia="Times New Roman" w:hAnsi="Arial" w:cs="Arial"/>
          <w:color w:val="000000"/>
          <w:lang w:val="en-AU"/>
        </w:rPr>
        <w:t xml:space="preserve">, T., </w:t>
      </w:r>
      <w:proofErr w:type="spellStart"/>
      <w:r w:rsidRPr="00C34C46">
        <w:rPr>
          <w:rFonts w:ascii="Arial" w:eastAsia="Times New Roman" w:hAnsi="Arial" w:cs="Arial"/>
          <w:color w:val="000000"/>
          <w:lang w:val="en-AU"/>
        </w:rPr>
        <w:t>Sulkava</w:t>
      </w:r>
      <w:proofErr w:type="spellEnd"/>
      <w:r w:rsidRPr="00C34C46">
        <w:rPr>
          <w:rFonts w:ascii="Arial" w:eastAsia="Times New Roman" w:hAnsi="Arial" w:cs="Arial"/>
          <w:color w:val="000000"/>
          <w:lang w:val="en-AU"/>
        </w:rPr>
        <w:t xml:space="preserve">, R., </w:t>
      </w:r>
      <w:proofErr w:type="spellStart"/>
      <w:r w:rsidRPr="00C34C46">
        <w:rPr>
          <w:rFonts w:ascii="Arial" w:eastAsia="Times New Roman" w:hAnsi="Arial" w:cs="Arial"/>
          <w:color w:val="000000"/>
          <w:lang w:val="en-AU"/>
        </w:rPr>
        <w:t>MacLullich</w:t>
      </w:r>
      <w:proofErr w:type="spellEnd"/>
      <w:r w:rsidRPr="00C34C46">
        <w:rPr>
          <w:rFonts w:ascii="Arial" w:eastAsia="Times New Roman" w:hAnsi="Arial" w:cs="Arial"/>
          <w:color w:val="000000"/>
          <w:lang w:val="en-AU"/>
        </w:rPr>
        <w:t xml:space="preserve">, A. and </w:t>
      </w:r>
      <w:proofErr w:type="spellStart"/>
      <w:r w:rsidRPr="00C34C46">
        <w:rPr>
          <w:rFonts w:ascii="Arial" w:eastAsia="Times New Roman" w:hAnsi="Arial" w:cs="Arial"/>
          <w:color w:val="000000"/>
          <w:lang w:val="en-AU"/>
        </w:rPr>
        <w:t>Brayne</w:t>
      </w:r>
      <w:proofErr w:type="spellEnd"/>
      <w:r w:rsidRPr="00C34C46">
        <w:rPr>
          <w:rFonts w:ascii="Arial" w:eastAsia="Times New Roman" w:hAnsi="Arial" w:cs="Arial"/>
          <w:color w:val="000000"/>
          <w:lang w:val="en-AU"/>
        </w:rPr>
        <w:t>, C. (2012). Delirium is a strong risk factor for dementia in the oldest-old: a population-based cohort study. </w:t>
      </w:r>
      <w:r w:rsidRPr="00C34C46">
        <w:rPr>
          <w:rFonts w:ascii="Arial" w:eastAsia="Times New Roman" w:hAnsi="Arial" w:cs="Arial"/>
          <w:i/>
          <w:iCs/>
          <w:color w:val="000000"/>
          <w:lang w:val="en-AU"/>
        </w:rPr>
        <w:t>Brain</w:t>
      </w:r>
      <w:r w:rsidRPr="00C34C46">
        <w:rPr>
          <w:rFonts w:ascii="Arial" w:eastAsia="Times New Roman" w:hAnsi="Arial" w:cs="Arial"/>
          <w:color w:val="000000"/>
          <w:lang w:val="en-AU"/>
        </w:rPr>
        <w:t>, 135(9), pp.2809-2816.</w:t>
      </w:r>
    </w:p>
    <w:p w:rsidR="00000000" w:rsidRPr="00C34C46" w:rsidRDefault="00496776" w:rsidP="00C34C46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lang w:val="en-AU"/>
        </w:rPr>
      </w:pPr>
      <w:proofErr w:type="spellStart"/>
      <w:r w:rsidRPr="00C34C46">
        <w:rPr>
          <w:rFonts w:ascii="Arial" w:eastAsia="Times New Roman" w:hAnsi="Arial" w:cs="Arial"/>
          <w:color w:val="000000"/>
          <w:lang w:val="en-AU"/>
        </w:rPr>
        <w:t>Adamis</w:t>
      </w:r>
      <w:proofErr w:type="spellEnd"/>
      <w:r w:rsidRPr="00C34C46">
        <w:rPr>
          <w:rFonts w:ascii="Arial" w:eastAsia="Times New Roman" w:hAnsi="Arial" w:cs="Arial"/>
          <w:color w:val="000000"/>
          <w:lang w:val="en-AU"/>
        </w:rPr>
        <w:t xml:space="preserve">, D., </w:t>
      </w:r>
      <w:proofErr w:type="spellStart"/>
      <w:r w:rsidRPr="00C34C46">
        <w:rPr>
          <w:rFonts w:ascii="Arial" w:eastAsia="Times New Roman" w:hAnsi="Arial" w:cs="Arial"/>
          <w:color w:val="000000"/>
          <w:lang w:val="en-AU"/>
        </w:rPr>
        <w:t>Scholtens</w:t>
      </w:r>
      <w:proofErr w:type="spellEnd"/>
      <w:r w:rsidRPr="00C34C46">
        <w:rPr>
          <w:rFonts w:ascii="Arial" w:eastAsia="Times New Roman" w:hAnsi="Arial" w:cs="Arial"/>
          <w:color w:val="000000"/>
          <w:lang w:val="en-AU"/>
        </w:rPr>
        <w:t xml:space="preserve">, R., de </w:t>
      </w:r>
      <w:proofErr w:type="spellStart"/>
      <w:r w:rsidRPr="00C34C46">
        <w:rPr>
          <w:rFonts w:ascii="Arial" w:eastAsia="Times New Roman" w:hAnsi="Arial" w:cs="Arial"/>
          <w:color w:val="000000"/>
          <w:lang w:val="en-AU"/>
        </w:rPr>
        <w:t>Jonghe</w:t>
      </w:r>
      <w:proofErr w:type="spellEnd"/>
      <w:r w:rsidRPr="00C34C46">
        <w:rPr>
          <w:rFonts w:ascii="Arial" w:eastAsia="Times New Roman" w:hAnsi="Arial" w:cs="Arial"/>
          <w:color w:val="000000"/>
          <w:lang w:val="en-AU"/>
        </w:rPr>
        <w:t xml:space="preserve">, A., van Munster, B., de </w:t>
      </w:r>
      <w:proofErr w:type="spellStart"/>
      <w:r w:rsidRPr="00C34C46">
        <w:rPr>
          <w:rFonts w:ascii="Arial" w:eastAsia="Times New Roman" w:hAnsi="Arial" w:cs="Arial"/>
          <w:color w:val="000000"/>
          <w:lang w:val="en-AU"/>
        </w:rPr>
        <w:t>Rooij</w:t>
      </w:r>
      <w:proofErr w:type="spellEnd"/>
      <w:r w:rsidRPr="00C34C46">
        <w:rPr>
          <w:rFonts w:ascii="Arial" w:eastAsia="Times New Roman" w:hAnsi="Arial" w:cs="Arial"/>
          <w:color w:val="000000"/>
          <w:lang w:val="en-AU"/>
        </w:rPr>
        <w:t>, S. and Mea</w:t>
      </w:r>
      <w:r w:rsidRPr="00C34C46">
        <w:rPr>
          <w:rFonts w:ascii="Arial" w:eastAsia="Times New Roman" w:hAnsi="Arial" w:cs="Arial"/>
          <w:color w:val="000000"/>
          <w:lang w:val="en-AU"/>
        </w:rPr>
        <w:t xml:space="preserve">gher, D. (2016). Psychometric evaluation of the DMSS-4 in a cohort of </w:t>
      </w:r>
      <w:r w:rsidRPr="00C34C46">
        <w:rPr>
          <w:rFonts w:ascii="Arial" w:eastAsia="Times New Roman" w:hAnsi="Arial" w:cs="Arial"/>
          <w:color w:val="000000"/>
          <w:lang w:val="en-AU"/>
        </w:rPr>
        <w:lastRenderedPageBreak/>
        <w:t>elderly post-operative hip fracture patients with delirium. </w:t>
      </w:r>
      <w:r w:rsidRPr="00C34C46">
        <w:rPr>
          <w:rFonts w:ascii="Arial" w:eastAsia="Times New Roman" w:hAnsi="Arial" w:cs="Arial"/>
          <w:i/>
          <w:iCs/>
          <w:color w:val="000000"/>
          <w:lang w:val="en-AU"/>
        </w:rPr>
        <w:t xml:space="preserve">International </w:t>
      </w:r>
      <w:proofErr w:type="spellStart"/>
      <w:r w:rsidRPr="00C34C46">
        <w:rPr>
          <w:rFonts w:ascii="Arial" w:eastAsia="Times New Roman" w:hAnsi="Arial" w:cs="Arial"/>
          <w:i/>
          <w:iCs/>
          <w:color w:val="000000"/>
          <w:lang w:val="en-AU"/>
        </w:rPr>
        <w:t>Psychogeriatrics</w:t>
      </w:r>
      <w:proofErr w:type="spellEnd"/>
      <w:r w:rsidRPr="00C34C46">
        <w:rPr>
          <w:rFonts w:ascii="Arial" w:eastAsia="Times New Roman" w:hAnsi="Arial" w:cs="Arial"/>
          <w:color w:val="000000"/>
          <w:lang w:val="en-AU"/>
        </w:rPr>
        <w:t>, 28(07), pp.1221-1228.</w:t>
      </w:r>
    </w:p>
    <w:p w:rsidR="00000000" w:rsidRPr="00C34C46" w:rsidRDefault="00496776" w:rsidP="00C34C46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lang w:val="en-AU"/>
        </w:rPr>
      </w:pPr>
      <w:proofErr w:type="spellStart"/>
      <w:r w:rsidRPr="00C34C46">
        <w:rPr>
          <w:rFonts w:ascii="Arial" w:eastAsia="Times New Roman" w:hAnsi="Arial" w:cs="Arial"/>
          <w:color w:val="000000"/>
          <w:lang w:val="en-AU"/>
        </w:rPr>
        <w:t>Cerejeira</w:t>
      </w:r>
      <w:proofErr w:type="spellEnd"/>
      <w:r w:rsidRPr="00C34C46">
        <w:rPr>
          <w:rFonts w:ascii="Arial" w:eastAsia="Times New Roman" w:hAnsi="Arial" w:cs="Arial"/>
          <w:color w:val="000000"/>
          <w:lang w:val="en-AU"/>
        </w:rPr>
        <w:t xml:space="preserve">, J. and </w:t>
      </w:r>
      <w:proofErr w:type="spellStart"/>
      <w:r w:rsidRPr="00C34C46">
        <w:rPr>
          <w:rFonts w:ascii="Arial" w:eastAsia="Times New Roman" w:hAnsi="Arial" w:cs="Arial"/>
          <w:color w:val="000000"/>
          <w:lang w:val="en-AU"/>
        </w:rPr>
        <w:t>Mukaetova-Ladinska</w:t>
      </w:r>
      <w:proofErr w:type="spellEnd"/>
      <w:r w:rsidRPr="00C34C46">
        <w:rPr>
          <w:rFonts w:ascii="Arial" w:eastAsia="Times New Roman" w:hAnsi="Arial" w:cs="Arial"/>
          <w:color w:val="000000"/>
          <w:lang w:val="en-AU"/>
        </w:rPr>
        <w:t>, E. (2011). A Clinical Update on Delirium: From Early Recognition to Effective Management. </w:t>
      </w:r>
      <w:r w:rsidRPr="00C34C46">
        <w:rPr>
          <w:rFonts w:ascii="Arial" w:eastAsia="Times New Roman" w:hAnsi="Arial" w:cs="Arial"/>
          <w:i/>
          <w:iCs/>
          <w:color w:val="000000"/>
          <w:lang w:val="en-AU"/>
        </w:rPr>
        <w:t>Nursing Research and Practice</w:t>
      </w:r>
      <w:r w:rsidRPr="00C34C46">
        <w:rPr>
          <w:rFonts w:ascii="Arial" w:eastAsia="Times New Roman" w:hAnsi="Arial" w:cs="Arial"/>
          <w:color w:val="000000"/>
          <w:lang w:val="en-AU"/>
        </w:rPr>
        <w:t>, 2011, pp.1-12.</w:t>
      </w:r>
    </w:p>
    <w:p w:rsidR="00000000" w:rsidRPr="00C34C46" w:rsidRDefault="00496776" w:rsidP="00C34C46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lang w:val="en-AU"/>
        </w:rPr>
      </w:pPr>
      <w:r w:rsidRPr="00C34C46">
        <w:rPr>
          <w:rFonts w:ascii="Arial" w:eastAsia="Times New Roman" w:hAnsi="Arial" w:cs="Arial"/>
          <w:color w:val="000000"/>
          <w:lang w:val="en-AU"/>
        </w:rPr>
        <w:t xml:space="preserve">Inouye, S., </w:t>
      </w:r>
      <w:proofErr w:type="spellStart"/>
      <w:r w:rsidRPr="00C34C46">
        <w:rPr>
          <w:rFonts w:ascii="Arial" w:eastAsia="Times New Roman" w:hAnsi="Arial" w:cs="Arial"/>
          <w:color w:val="000000"/>
          <w:lang w:val="en-AU"/>
        </w:rPr>
        <w:t>Westendorp</w:t>
      </w:r>
      <w:proofErr w:type="spellEnd"/>
      <w:r w:rsidRPr="00C34C46">
        <w:rPr>
          <w:rFonts w:ascii="Arial" w:eastAsia="Times New Roman" w:hAnsi="Arial" w:cs="Arial"/>
          <w:color w:val="000000"/>
          <w:lang w:val="en-AU"/>
        </w:rPr>
        <w:t xml:space="preserve">, R. and </w:t>
      </w:r>
      <w:proofErr w:type="spellStart"/>
      <w:r w:rsidRPr="00C34C46">
        <w:rPr>
          <w:rFonts w:ascii="Arial" w:eastAsia="Times New Roman" w:hAnsi="Arial" w:cs="Arial"/>
          <w:color w:val="000000"/>
          <w:lang w:val="en-AU"/>
        </w:rPr>
        <w:t>Saczynski</w:t>
      </w:r>
      <w:proofErr w:type="spellEnd"/>
      <w:r w:rsidRPr="00C34C46">
        <w:rPr>
          <w:rFonts w:ascii="Arial" w:eastAsia="Times New Roman" w:hAnsi="Arial" w:cs="Arial"/>
          <w:color w:val="000000"/>
          <w:lang w:val="en-AU"/>
        </w:rPr>
        <w:t>, J. (2014). Delirium in elderly people. </w:t>
      </w:r>
      <w:r w:rsidRPr="00C34C46">
        <w:rPr>
          <w:rFonts w:ascii="Arial" w:eastAsia="Times New Roman" w:hAnsi="Arial" w:cs="Arial"/>
          <w:i/>
          <w:iCs/>
          <w:color w:val="000000"/>
          <w:lang w:val="en-AU"/>
        </w:rPr>
        <w:t>The Lancet</w:t>
      </w:r>
      <w:r w:rsidRPr="00C34C46">
        <w:rPr>
          <w:rFonts w:ascii="Arial" w:eastAsia="Times New Roman" w:hAnsi="Arial" w:cs="Arial"/>
          <w:color w:val="000000"/>
          <w:lang w:val="en-AU"/>
        </w:rPr>
        <w:t>, 383(9920), pp.911-922.</w:t>
      </w:r>
    </w:p>
    <w:p w:rsidR="00C34C46" w:rsidRPr="00C34C46" w:rsidRDefault="00C34C46" w:rsidP="00C34C46">
      <w:pPr>
        <w:spacing w:before="100" w:beforeAutospacing="1" w:after="100" w:afterAutospacing="1"/>
        <w:rPr>
          <w:rFonts w:ascii="Arial" w:eastAsia="Times New Roman" w:hAnsi="Arial" w:cs="Arial"/>
          <w:color w:val="000000"/>
          <w:lang w:val="en-AU"/>
        </w:rPr>
      </w:pPr>
      <w:bookmarkStart w:id="0" w:name="_GoBack"/>
      <w:bookmarkEnd w:id="0"/>
    </w:p>
    <w:p w:rsidR="00C34C46" w:rsidRPr="00C34C46" w:rsidRDefault="00C34C46" w:rsidP="00C34C46">
      <w:pPr>
        <w:rPr>
          <w:rFonts w:ascii="Arial" w:hAnsi="Arial" w:cs="Arial"/>
          <w:lang w:val="en-US" w:bidi="en-US"/>
        </w:rPr>
      </w:pPr>
    </w:p>
    <w:p w:rsidR="00685EFD" w:rsidRPr="00C34C46" w:rsidRDefault="00496776"/>
    <w:sectPr w:rsidR="00685EFD" w:rsidRPr="00C34C46" w:rsidSect="00186B7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6776" w:rsidRDefault="00496776" w:rsidP="00C34C46">
      <w:r>
        <w:separator/>
      </w:r>
    </w:p>
  </w:endnote>
  <w:endnote w:type="continuationSeparator" w:id="0">
    <w:p w:rsidR="00496776" w:rsidRDefault="00496776" w:rsidP="00C34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6776" w:rsidRDefault="00496776" w:rsidP="00C34C46">
      <w:r>
        <w:separator/>
      </w:r>
    </w:p>
  </w:footnote>
  <w:footnote w:type="continuationSeparator" w:id="0">
    <w:p w:rsidR="00496776" w:rsidRDefault="00496776" w:rsidP="00C34C46">
      <w:r>
        <w:continuationSeparator/>
      </w:r>
    </w:p>
  </w:footnote>
  <w:footnote w:id="1">
    <w:p w:rsidR="00C34C46" w:rsidRDefault="00C34C46">
      <w:pPr>
        <w:pStyle w:val="FootnoteText"/>
        <w:rPr>
          <w:lang w:val="en-AU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AU"/>
        </w:rPr>
        <w:t>Department of Geriatric Medicine, Nepean Hospital, NSW, Australia</w:t>
      </w:r>
    </w:p>
    <w:p w:rsidR="00C34C46" w:rsidRPr="00C34C46" w:rsidRDefault="00C34C46">
      <w:pPr>
        <w:pStyle w:val="FootnoteText"/>
        <w:rPr>
          <w:lang w:val="en-AU"/>
        </w:rPr>
      </w:pPr>
    </w:p>
  </w:footnote>
  <w:footnote w:id="2">
    <w:p w:rsidR="00C34C46" w:rsidRPr="00C34C46" w:rsidRDefault="00C34C46">
      <w:pPr>
        <w:pStyle w:val="FootnoteText"/>
        <w:rPr>
          <w:lang w:val="en-AU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AU"/>
        </w:rPr>
        <w:t>Department of Geriatric Medicine, Barwon Health, VIC, Australia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96456"/>
    <w:multiLevelType w:val="hybridMultilevel"/>
    <w:tmpl w:val="F12EF0AC"/>
    <w:lvl w:ilvl="0" w:tplc="918411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D0D5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5962E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2E23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8638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6E5D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AEA28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98A8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240C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C46"/>
    <w:rsid w:val="00496776"/>
    <w:rsid w:val="006F5B97"/>
    <w:rsid w:val="007478D5"/>
    <w:rsid w:val="009D1B47"/>
    <w:rsid w:val="00A851CB"/>
    <w:rsid w:val="00C34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D0287"/>
  <w14:defaultImageDpi w14:val="32767"/>
  <w15:chartTrackingRefBased/>
  <w15:docId w15:val="{CB151251-571C-A048-B02C-5123AE74C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34C4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C34C4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34C4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34C4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48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2838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389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43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8764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50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4066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9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B36E045-76B0-954C-8518-B0049C879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568</Words>
  <Characters>3241</Characters>
  <Application>Microsoft Office Word</Application>
  <DocSecurity>0</DocSecurity>
  <Lines>27</Lines>
  <Paragraphs>7</Paragraphs>
  <ScaleCrop>false</ScaleCrop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Khin Thu</dc:creator>
  <cp:keywords/>
  <dc:description/>
  <cp:lastModifiedBy>Khin Thu</cp:lastModifiedBy>
  <cp:revision>1</cp:revision>
  <dcterms:created xsi:type="dcterms:W3CDTF">2018-08-26T01:29:00Z</dcterms:created>
  <dcterms:modified xsi:type="dcterms:W3CDTF">2018-08-26T01:38:00Z</dcterms:modified>
</cp:coreProperties>
</file>