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b/>
          <w:sz w:val="24"/>
          <w:szCs w:val="24"/>
        </w:rPr>
        <w:t>Abstract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b/>
          <w:sz w:val="24"/>
          <w:szCs w:val="24"/>
        </w:rPr>
        <w:t>Background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E15D91">
        <w:rPr>
          <w:rFonts w:asciiTheme="majorBidi" w:hAnsiTheme="majorBidi" w:cstheme="majorBidi"/>
          <w:bCs/>
          <w:sz w:val="24"/>
          <w:szCs w:val="24"/>
        </w:rPr>
        <w:t xml:space="preserve">The Beers criteria are widely used for the evaluation of prescribing quality among the </w:t>
      </w:r>
      <w:r w:rsidR="00657BA1" w:rsidRPr="00E15D91">
        <w:rPr>
          <w:rFonts w:asciiTheme="majorBidi" w:hAnsiTheme="majorBidi" w:cstheme="majorBidi"/>
          <w:bCs/>
          <w:sz w:val="24"/>
          <w:szCs w:val="24"/>
        </w:rPr>
        <w:t>older persons</w:t>
      </w:r>
      <w:r w:rsidR="008979BC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>However, the association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>between the Beers list of potential</w:t>
      </w:r>
      <w:r w:rsidR="004E6359">
        <w:rPr>
          <w:rFonts w:asciiTheme="majorBidi" w:hAnsiTheme="majorBidi" w:cstheme="majorBidi"/>
          <w:bCs/>
          <w:sz w:val="24"/>
          <w:szCs w:val="24"/>
        </w:rPr>
        <w:t>ly</w:t>
      </w:r>
      <w:bookmarkStart w:id="0" w:name="_GoBack"/>
      <w:bookmarkEnd w:id="0"/>
      <w:r w:rsidR="00CA49CD" w:rsidRPr="00E15D91">
        <w:rPr>
          <w:rFonts w:asciiTheme="majorBidi" w:hAnsiTheme="majorBidi" w:cstheme="majorBidi"/>
          <w:bCs/>
          <w:sz w:val="24"/>
          <w:szCs w:val="24"/>
        </w:rPr>
        <w:t xml:space="preserve"> inappropriate medicines</w:t>
      </w:r>
      <w:r w:rsidR="008979BC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643016" w:rsidRPr="00E15D91">
        <w:rPr>
          <w:rFonts w:asciiTheme="majorBidi" w:hAnsiTheme="majorBidi" w:cstheme="majorBidi"/>
          <w:bCs/>
          <w:sz w:val="24"/>
          <w:szCs w:val="24"/>
        </w:rPr>
        <w:t>(PIMs)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 xml:space="preserve"> and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adverse drug reactions</w:t>
      </w:r>
      <w:r w:rsidR="00643016" w:rsidRPr="00E15D91">
        <w:rPr>
          <w:rFonts w:asciiTheme="majorBidi" w:hAnsiTheme="majorBidi" w:cstheme="majorBidi"/>
          <w:bCs/>
          <w:sz w:val="24"/>
          <w:szCs w:val="24"/>
        </w:rPr>
        <w:t xml:space="preserve"> (ADRs)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among the </w:t>
      </w:r>
      <w:r w:rsidR="00657BA1" w:rsidRPr="00E15D91">
        <w:rPr>
          <w:rFonts w:asciiTheme="majorBidi" w:hAnsiTheme="majorBidi" w:cstheme="majorBidi"/>
          <w:bCs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remains controversial in the literature.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15D91">
        <w:rPr>
          <w:rFonts w:asciiTheme="majorBidi" w:hAnsiTheme="majorBidi" w:cstheme="majorBidi"/>
          <w:b/>
          <w:bCs/>
          <w:sz w:val="24"/>
          <w:szCs w:val="24"/>
        </w:rPr>
        <w:t>Objective</w:t>
      </w:r>
      <w:r w:rsidR="002C6DA8" w:rsidRPr="00E15D91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E331DE" w:rsidRPr="00E15D91" w:rsidRDefault="002C6DA8" w:rsidP="00E331DE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sz w:val="24"/>
          <w:szCs w:val="24"/>
        </w:rPr>
        <w:t>To evaluate</w:t>
      </w:r>
      <w:r w:rsidR="00E331DE" w:rsidRPr="00E15D91">
        <w:rPr>
          <w:rFonts w:asciiTheme="majorBidi" w:hAnsiTheme="majorBidi" w:cstheme="majorBidi"/>
          <w:sz w:val="24"/>
          <w:szCs w:val="24"/>
        </w:rPr>
        <w:t xml:space="preserve"> the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prevalence </w:t>
      </w:r>
      <w:r w:rsidRPr="00E15D91">
        <w:rPr>
          <w:rFonts w:asciiTheme="majorBidi" w:hAnsiTheme="majorBidi" w:cstheme="majorBidi"/>
          <w:sz w:val="24"/>
          <w:szCs w:val="24"/>
        </w:rPr>
        <w:t>of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 ADRs </w:t>
      </w:r>
      <w:r w:rsidRPr="00E15D91">
        <w:rPr>
          <w:rFonts w:asciiTheme="majorBidi" w:hAnsiTheme="majorBidi" w:cstheme="majorBidi"/>
          <w:sz w:val="24"/>
          <w:szCs w:val="24"/>
        </w:rPr>
        <w:t xml:space="preserve">among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hospitalised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older persons,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and </w:t>
      </w:r>
      <w:r w:rsidRPr="00E15D91">
        <w:rPr>
          <w:rFonts w:asciiTheme="majorBidi" w:hAnsiTheme="majorBidi" w:cstheme="majorBidi"/>
          <w:sz w:val="24"/>
          <w:szCs w:val="24"/>
        </w:rPr>
        <w:t xml:space="preserve">to determine the association between the ADRs and </w:t>
      </w:r>
      <w:r w:rsidR="0081626B" w:rsidRPr="00E15D91">
        <w:rPr>
          <w:rFonts w:asciiTheme="majorBidi" w:hAnsiTheme="majorBidi" w:cstheme="majorBidi"/>
          <w:sz w:val="24"/>
          <w:szCs w:val="24"/>
        </w:rPr>
        <w:t xml:space="preserve">the </w:t>
      </w:r>
      <w:r w:rsidR="00E331DE" w:rsidRPr="00E15D91">
        <w:rPr>
          <w:rFonts w:asciiTheme="majorBidi" w:hAnsiTheme="majorBidi" w:cstheme="majorBidi"/>
          <w:sz w:val="24"/>
          <w:szCs w:val="24"/>
        </w:rPr>
        <w:t xml:space="preserve">2015 updated Beers </w:t>
      </w:r>
      <w:r w:rsidR="00643016" w:rsidRPr="00E15D91">
        <w:rPr>
          <w:rFonts w:asciiTheme="majorBidi" w:hAnsiTheme="majorBidi" w:cstheme="majorBidi"/>
          <w:sz w:val="24"/>
          <w:szCs w:val="24"/>
        </w:rPr>
        <w:t>PIMs list</w:t>
      </w:r>
      <w:r w:rsidRPr="00E15D91">
        <w:rPr>
          <w:rFonts w:asciiTheme="majorBidi" w:hAnsiTheme="majorBidi" w:cstheme="majorBidi"/>
          <w:sz w:val="24"/>
          <w:szCs w:val="24"/>
        </w:rPr>
        <w:t>.</w:t>
      </w:r>
      <w:r w:rsidR="00E331DE" w:rsidRPr="00E15D91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:rsidR="00E331DE" w:rsidRPr="00E15D91" w:rsidRDefault="00F121F1" w:rsidP="00E331DE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b/>
          <w:sz w:val="24"/>
          <w:szCs w:val="24"/>
        </w:rPr>
        <w:t>Method</w:t>
      </w:r>
      <w:r w:rsidR="00114CF2" w:rsidRPr="00E15D91">
        <w:rPr>
          <w:rFonts w:asciiTheme="majorBidi" w:hAnsiTheme="majorBidi" w:cstheme="majorBidi"/>
          <w:b/>
          <w:sz w:val="24"/>
          <w:szCs w:val="24"/>
        </w:rPr>
        <w:t>s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sz w:val="24"/>
          <w:szCs w:val="24"/>
        </w:rPr>
        <w:t>A retrospective s</w:t>
      </w:r>
      <w:r w:rsidR="00482C37" w:rsidRPr="00E15D91">
        <w:rPr>
          <w:rFonts w:asciiTheme="majorBidi" w:hAnsiTheme="majorBidi" w:cstheme="majorBidi"/>
          <w:sz w:val="24"/>
          <w:szCs w:val="24"/>
        </w:rPr>
        <w:t xml:space="preserve">tudy involving 268 </w:t>
      </w:r>
      <w:r w:rsidR="00657BA1" w:rsidRPr="00E15D91">
        <w:rPr>
          <w:rFonts w:asciiTheme="majorBidi" w:hAnsiTheme="majorBidi" w:cstheme="majorBidi"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934BE0" w:rsidRPr="00E15D91">
        <w:rPr>
          <w:rFonts w:asciiTheme="majorBidi" w:hAnsiTheme="majorBidi" w:cstheme="majorBidi"/>
          <w:sz w:val="24"/>
          <w:szCs w:val="24"/>
        </w:rPr>
        <w:t xml:space="preserve">who were </w:t>
      </w:r>
      <w:proofErr w:type="spellStart"/>
      <w:r w:rsidR="00934BE0" w:rsidRPr="00E15D91">
        <w:rPr>
          <w:rFonts w:asciiTheme="majorBidi" w:hAnsiTheme="majorBidi" w:cstheme="majorBidi"/>
          <w:sz w:val="24"/>
          <w:szCs w:val="24"/>
        </w:rPr>
        <w:t>hospitalised</w:t>
      </w:r>
      <w:proofErr w:type="spellEnd"/>
      <w:r w:rsidR="00482C37"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in the internal medicine wards of </w:t>
      </w:r>
      <w:proofErr w:type="spellStart"/>
      <w:r w:rsidR="00643016" w:rsidRPr="00E15D91">
        <w:rPr>
          <w:rFonts w:asciiTheme="majorBidi" w:hAnsiTheme="majorBidi" w:cstheme="majorBidi"/>
          <w:sz w:val="24"/>
          <w:szCs w:val="24"/>
        </w:rPr>
        <w:t>Olabisi</w:t>
      </w:r>
      <w:proofErr w:type="spellEnd"/>
      <w:r w:rsidR="00643016" w:rsidRPr="00E15D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3016" w:rsidRPr="00E15D91">
        <w:rPr>
          <w:rFonts w:asciiTheme="majorBidi" w:hAnsiTheme="majorBidi" w:cstheme="majorBidi"/>
          <w:sz w:val="24"/>
          <w:szCs w:val="24"/>
        </w:rPr>
        <w:t>Onabanjo</w:t>
      </w:r>
      <w:proofErr w:type="spellEnd"/>
      <w:r w:rsidR="00643016" w:rsidRPr="00E15D91">
        <w:rPr>
          <w:rFonts w:asciiTheme="majorBidi" w:hAnsiTheme="majorBidi" w:cstheme="majorBidi"/>
          <w:sz w:val="24"/>
          <w:szCs w:val="24"/>
        </w:rPr>
        <w:t xml:space="preserve"> University Teaching Hospital </w:t>
      </w:r>
      <w:r w:rsidR="00482C37" w:rsidRPr="00E15D91">
        <w:rPr>
          <w:rFonts w:asciiTheme="majorBidi" w:hAnsiTheme="majorBidi" w:cstheme="majorBidi"/>
          <w:sz w:val="24"/>
          <w:szCs w:val="24"/>
        </w:rPr>
        <w:t xml:space="preserve">between January and December 2016 </w:t>
      </w:r>
      <w:r w:rsidRPr="00E15D91">
        <w:rPr>
          <w:rFonts w:asciiTheme="majorBidi" w:hAnsiTheme="majorBidi" w:cstheme="majorBidi"/>
          <w:sz w:val="24"/>
          <w:szCs w:val="24"/>
        </w:rPr>
        <w:t>was carried out</w:t>
      </w:r>
      <w:r w:rsidR="007E5C35" w:rsidRPr="00E15D91">
        <w:rPr>
          <w:rFonts w:asciiTheme="majorBidi" w:hAnsiTheme="majorBidi" w:cstheme="majorBidi"/>
          <w:sz w:val="24"/>
          <w:szCs w:val="24"/>
        </w:rPr>
        <w:t>.</w:t>
      </w:r>
      <w:r w:rsidR="006E7044"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Medical records of eligible patients were systematically selected. Information including patients’ socio-demographics, patients’ medication and medical histories, and medicines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utilisation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during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hospitalisation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were extracted. Potential inappropriate medicines among the patients were evaluated using the 2015 updated Beers criteria.</w:t>
      </w:r>
      <w:r w:rsidRPr="00E15D9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Two clinical pharmacists independently assessed </w:t>
      </w:r>
      <w:r w:rsidR="002C6DA8" w:rsidRPr="00E15D91">
        <w:rPr>
          <w:rFonts w:asciiTheme="majorBidi" w:hAnsiTheme="majorBidi" w:cstheme="majorBidi"/>
          <w:sz w:val="24"/>
          <w:szCs w:val="24"/>
        </w:rPr>
        <w:t>the ADRs</w:t>
      </w:r>
      <w:r w:rsidRPr="00E15D91">
        <w:rPr>
          <w:rFonts w:asciiTheme="majorBidi" w:hAnsiTheme="majorBidi" w:cstheme="majorBidi"/>
          <w:sz w:val="24"/>
          <w:szCs w:val="24"/>
        </w:rPr>
        <w:t xml:space="preserve"> among the patients. 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15D91">
        <w:rPr>
          <w:rFonts w:asciiTheme="majorBidi" w:hAnsiTheme="majorBidi" w:cstheme="majorBidi"/>
          <w:b/>
          <w:bCs/>
          <w:sz w:val="24"/>
          <w:szCs w:val="24"/>
        </w:rPr>
        <w:t>Results</w:t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15D91">
        <w:rPr>
          <w:rFonts w:asciiTheme="majorBidi" w:hAnsiTheme="majorBidi" w:cstheme="majorBidi"/>
          <w:sz w:val="24"/>
          <w:szCs w:val="24"/>
        </w:rPr>
        <w:t xml:space="preserve">About one-third of the patients (86/268, 32.1%) received at least a </w:t>
      </w:r>
      <w:r w:rsidR="002C6DA8" w:rsidRPr="00E15D91">
        <w:rPr>
          <w:rFonts w:asciiTheme="majorBidi" w:hAnsiTheme="majorBidi" w:cstheme="majorBidi"/>
          <w:sz w:val="24"/>
          <w:szCs w:val="24"/>
        </w:rPr>
        <w:t>PIM</w:t>
      </w:r>
      <w:r w:rsidRPr="00E15D91">
        <w:rPr>
          <w:rFonts w:asciiTheme="majorBidi" w:hAnsiTheme="majorBidi" w:cstheme="majorBidi"/>
          <w:sz w:val="24"/>
          <w:szCs w:val="24"/>
        </w:rPr>
        <w:t xml:space="preserve"> d</w:t>
      </w:r>
      <w:r w:rsidR="00455307" w:rsidRPr="00E15D91">
        <w:rPr>
          <w:rFonts w:asciiTheme="majorBidi" w:hAnsiTheme="majorBidi" w:cstheme="majorBidi"/>
          <w:sz w:val="24"/>
          <w:szCs w:val="24"/>
        </w:rPr>
        <w:t xml:space="preserve">uring </w:t>
      </w:r>
      <w:proofErr w:type="spellStart"/>
      <w:r w:rsidR="00455307" w:rsidRPr="00E15D91">
        <w:rPr>
          <w:rFonts w:asciiTheme="majorBidi" w:hAnsiTheme="majorBidi" w:cstheme="majorBidi"/>
          <w:sz w:val="24"/>
          <w:szCs w:val="24"/>
        </w:rPr>
        <w:t>hospitalisation</w:t>
      </w:r>
      <w:proofErr w:type="spellEnd"/>
      <w:r w:rsidR="00455307" w:rsidRPr="00E15D91">
        <w:rPr>
          <w:rFonts w:asciiTheme="majorBidi" w:hAnsiTheme="majorBidi" w:cstheme="majorBidi"/>
          <w:sz w:val="24"/>
          <w:szCs w:val="24"/>
        </w:rPr>
        <w:t>. Forty-three</w:t>
      </w:r>
      <w:r w:rsidR="002C6DA8" w:rsidRPr="00E15D91">
        <w:rPr>
          <w:rFonts w:asciiTheme="majorBidi" w:hAnsiTheme="majorBidi" w:cstheme="majorBidi"/>
          <w:sz w:val="24"/>
          <w:szCs w:val="24"/>
        </w:rPr>
        <w:t xml:space="preserve"> cases of ADRs</w:t>
      </w:r>
      <w:r w:rsidRPr="00E15D91">
        <w:rPr>
          <w:rFonts w:asciiTheme="majorBidi" w:hAnsiTheme="majorBidi" w:cstheme="majorBidi"/>
          <w:sz w:val="24"/>
          <w:szCs w:val="24"/>
        </w:rPr>
        <w:t xml:space="preserve"> were observed among </w:t>
      </w:r>
      <w:r w:rsidR="00CC06DB" w:rsidRPr="00E15D91">
        <w:rPr>
          <w:rFonts w:asciiTheme="majorBidi" w:hAnsiTheme="majorBidi" w:cstheme="majorBidi"/>
          <w:sz w:val="24"/>
          <w:szCs w:val="24"/>
        </w:rPr>
        <w:t xml:space="preserve">(37/268; 13.8%) of </w:t>
      </w:r>
      <w:r w:rsidR="0081626B" w:rsidRPr="00E15D91">
        <w:rPr>
          <w:rFonts w:asciiTheme="majorBidi" w:hAnsiTheme="majorBidi" w:cstheme="majorBidi"/>
          <w:sz w:val="24"/>
          <w:szCs w:val="24"/>
        </w:rPr>
        <w:t xml:space="preserve">the study </w:t>
      </w:r>
      <w:r w:rsidR="00CC06DB" w:rsidRPr="00E15D91">
        <w:rPr>
          <w:rFonts w:asciiTheme="majorBidi" w:hAnsiTheme="majorBidi" w:cstheme="majorBidi"/>
          <w:sz w:val="24"/>
          <w:szCs w:val="24"/>
        </w:rPr>
        <w:t>population. There was no significant association between the Beers PIMs and the ADRs</w:t>
      </w:r>
      <w:r w:rsidRPr="00E15D91">
        <w:rPr>
          <w:rFonts w:asciiTheme="majorBidi" w:hAnsiTheme="majorBidi" w:cstheme="majorBidi"/>
          <w:sz w:val="24"/>
          <w:szCs w:val="24"/>
        </w:rPr>
        <w:t xml:space="preserve"> (OR=1.36, CI=0.65-2.89. p&gt;0.05).</w:t>
      </w:r>
    </w:p>
    <w:p w:rsidR="004E5887" w:rsidRDefault="004E5887" w:rsidP="00E331DE">
      <w:pPr>
        <w:tabs>
          <w:tab w:val="left" w:pos="3050"/>
        </w:tabs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E331DE" w:rsidRPr="00E15D91" w:rsidRDefault="00E331DE" w:rsidP="00E331DE">
      <w:pPr>
        <w:tabs>
          <w:tab w:val="left" w:pos="3050"/>
        </w:tabs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b/>
          <w:sz w:val="24"/>
          <w:szCs w:val="24"/>
        </w:rPr>
        <w:lastRenderedPageBreak/>
        <w:t>Conclusion</w:t>
      </w:r>
      <w:r w:rsidR="0004065E" w:rsidRPr="00E15D91">
        <w:rPr>
          <w:rFonts w:asciiTheme="majorBidi" w:hAnsiTheme="majorBidi" w:cstheme="majorBidi"/>
          <w:b/>
          <w:sz w:val="24"/>
          <w:szCs w:val="24"/>
        </w:rPr>
        <w:t>s</w:t>
      </w:r>
      <w:r w:rsidRPr="00E15D91">
        <w:rPr>
          <w:rFonts w:asciiTheme="majorBidi" w:hAnsiTheme="majorBidi" w:cstheme="majorBidi"/>
          <w:b/>
          <w:sz w:val="24"/>
          <w:szCs w:val="24"/>
        </w:rPr>
        <w:tab/>
      </w: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15D91">
        <w:rPr>
          <w:rFonts w:asciiTheme="majorBidi" w:hAnsiTheme="majorBidi" w:cstheme="majorBidi"/>
          <w:sz w:val="24"/>
          <w:szCs w:val="24"/>
        </w:rPr>
        <w:t>The 2015 updated Beers</w:t>
      </w:r>
      <w:r w:rsidR="006527D3" w:rsidRPr="00E15D91">
        <w:rPr>
          <w:rFonts w:asciiTheme="majorBidi" w:hAnsiTheme="majorBidi" w:cstheme="majorBidi"/>
          <w:sz w:val="24"/>
          <w:szCs w:val="24"/>
        </w:rPr>
        <w:t>’</w:t>
      </w:r>
      <w:r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2C6DA8" w:rsidRPr="00E15D91">
        <w:rPr>
          <w:rFonts w:asciiTheme="majorBidi" w:hAnsiTheme="majorBidi" w:cstheme="majorBidi"/>
          <w:sz w:val="24"/>
          <w:szCs w:val="24"/>
        </w:rPr>
        <w:t>PIMs were not significantly associated with ADRs</w:t>
      </w:r>
      <w:r w:rsidR="006E434B" w:rsidRPr="00E15D91">
        <w:rPr>
          <w:rFonts w:asciiTheme="majorBidi" w:hAnsiTheme="majorBidi" w:cstheme="majorBidi"/>
          <w:sz w:val="24"/>
          <w:szCs w:val="24"/>
        </w:rPr>
        <w:t xml:space="preserve"> among the study population</w:t>
      </w:r>
      <w:r w:rsidRPr="00E15D91">
        <w:rPr>
          <w:rFonts w:asciiTheme="majorBidi" w:hAnsiTheme="majorBidi" w:cstheme="majorBidi"/>
          <w:sz w:val="24"/>
          <w:szCs w:val="24"/>
        </w:rPr>
        <w:t>.</w:t>
      </w:r>
      <w:r w:rsidRPr="00E15D9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This study finding indicates that avoiding </w:t>
      </w:r>
      <w:r w:rsidR="006E434B" w:rsidRPr="00E15D91">
        <w:rPr>
          <w:rFonts w:asciiTheme="majorBidi" w:hAnsiTheme="majorBidi" w:cstheme="majorBidi"/>
          <w:sz w:val="24"/>
          <w:szCs w:val="24"/>
        </w:rPr>
        <w:t>PIMs</w:t>
      </w:r>
      <w:r w:rsidRPr="00E15D91">
        <w:rPr>
          <w:rFonts w:asciiTheme="majorBidi" w:hAnsiTheme="majorBidi" w:cstheme="majorBidi"/>
          <w:sz w:val="24"/>
          <w:szCs w:val="24"/>
        </w:rPr>
        <w:t xml:space="preserve"> from the 2015 updated Beers criteria may not be sufficient in reducing </w:t>
      </w:r>
      <w:r w:rsidR="006E434B" w:rsidRPr="00E15D91">
        <w:rPr>
          <w:rFonts w:asciiTheme="majorBidi" w:hAnsiTheme="majorBidi" w:cstheme="majorBidi"/>
          <w:sz w:val="24"/>
          <w:szCs w:val="24"/>
        </w:rPr>
        <w:t>ADRs</w:t>
      </w:r>
      <w:r w:rsidRPr="00E15D91">
        <w:rPr>
          <w:rFonts w:asciiTheme="majorBidi" w:hAnsiTheme="majorBidi" w:cstheme="majorBidi"/>
          <w:sz w:val="24"/>
          <w:szCs w:val="24"/>
        </w:rPr>
        <w:t xml:space="preserve"> among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hospitalised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657BA1" w:rsidRPr="00E15D91">
        <w:rPr>
          <w:rFonts w:asciiTheme="majorBidi" w:hAnsiTheme="majorBidi" w:cstheme="majorBidi"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sz w:val="24"/>
          <w:szCs w:val="24"/>
        </w:rPr>
        <w:t xml:space="preserve">. </w:t>
      </w:r>
    </w:p>
    <w:p w:rsidR="006E434B" w:rsidRPr="00E15D91" w:rsidRDefault="006E434B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15D91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E15D91">
        <w:rPr>
          <w:rFonts w:asciiTheme="majorBidi" w:hAnsiTheme="majorBidi" w:cstheme="majorBidi"/>
          <w:sz w:val="24"/>
          <w:szCs w:val="24"/>
        </w:rPr>
        <w:t xml:space="preserve"> Beers criteria, adverse drug reaction, prescribing, </w:t>
      </w:r>
      <w:r w:rsidR="00657BA1" w:rsidRPr="00E15D91">
        <w:rPr>
          <w:rFonts w:asciiTheme="majorBidi" w:hAnsiTheme="majorBidi" w:cstheme="majorBidi"/>
          <w:sz w:val="24"/>
          <w:szCs w:val="24"/>
        </w:rPr>
        <w:t>older persons</w:t>
      </w:r>
    </w:p>
    <w:p w:rsidR="00CE5AC6" w:rsidRPr="00E15D91" w:rsidRDefault="00CE5AC6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E5AC6" w:rsidRPr="00E15D91" w:rsidRDefault="00CE5AC6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E5AC6" w:rsidRPr="00E15D91" w:rsidRDefault="00CE5AC6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CE5AC6" w:rsidRPr="00E15D91" w:rsidRDefault="00CE5AC6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b/>
          <w:sz w:val="24"/>
          <w:szCs w:val="24"/>
        </w:rPr>
        <w:t>Acknowledgements</w:t>
      </w:r>
    </w:p>
    <w:p w:rsidR="00CE5AC6" w:rsidRPr="00E15D91" w:rsidRDefault="00CE5AC6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E15D91">
        <w:rPr>
          <w:rFonts w:asciiTheme="majorBidi" w:hAnsiTheme="majorBidi" w:cstheme="majorBidi"/>
          <w:sz w:val="24"/>
          <w:szCs w:val="24"/>
        </w:rPr>
        <w:t>The authors are grateful to the staff and management of the study site for their support and cooperation throughout the study.</w:t>
      </w:r>
    </w:p>
    <w:p w:rsidR="00CE5AC6" w:rsidRPr="00E15D91" w:rsidRDefault="00CE5AC6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F2A24" w:rsidRPr="00E15D91" w:rsidRDefault="009F2A24">
      <w:pPr>
        <w:rPr>
          <w:rFonts w:asciiTheme="majorBidi" w:hAnsiTheme="majorBidi" w:cstheme="majorBidi"/>
          <w:sz w:val="24"/>
          <w:szCs w:val="24"/>
        </w:rPr>
      </w:pPr>
    </w:p>
    <w:sectPr w:rsidR="009F2A24" w:rsidRPr="00E15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A137C"/>
    <w:multiLevelType w:val="hybridMultilevel"/>
    <w:tmpl w:val="80E695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DE"/>
    <w:rsid w:val="0004065E"/>
    <w:rsid w:val="00114CF2"/>
    <w:rsid w:val="0018187C"/>
    <w:rsid w:val="00296E87"/>
    <w:rsid w:val="002C6DA8"/>
    <w:rsid w:val="00381717"/>
    <w:rsid w:val="003F431A"/>
    <w:rsid w:val="00444F18"/>
    <w:rsid w:val="00455307"/>
    <w:rsid w:val="00464EDE"/>
    <w:rsid w:val="00482C37"/>
    <w:rsid w:val="004E5887"/>
    <w:rsid w:val="004E6359"/>
    <w:rsid w:val="00643016"/>
    <w:rsid w:val="0064528E"/>
    <w:rsid w:val="006527D3"/>
    <w:rsid w:val="00657BA1"/>
    <w:rsid w:val="006E434B"/>
    <w:rsid w:val="006E7044"/>
    <w:rsid w:val="007E5C35"/>
    <w:rsid w:val="0081626B"/>
    <w:rsid w:val="008979BC"/>
    <w:rsid w:val="00934BE0"/>
    <w:rsid w:val="009D146C"/>
    <w:rsid w:val="009F2A24"/>
    <w:rsid w:val="00BE1171"/>
    <w:rsid w:val="00BF5DE4"/>
    <w:rsid w:val="00CA49CD"/>
    <w:rsid w:val="00CC06DB"/>
    <w:rsid w:val="00CE5AC6"/>
    <w:rsid w:val="00D36EE4"/>
    <w:rsid w:val="00E15D91"/>
    <w:rsid w:val="00E331DE"/>
    <w:rsid w:val="00F121F1"/>
    <w:rsid w:val="00FA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F504"/>
  <w15:chartTrackingRefBased/>
  <w15:docId w15:val="{C6F130E9-E99A-423A-8319-559A14E0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31D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 Saka (216072584)</dc:creator>
  <cp:keywords/>
  <dc:description/>
  <cp:lastModifiedBy>Sule Saka (216072584)</cp:lastModifiedBy>
  <cp:revision>20</cp:revision>
  <dcterms:created xsi:type="dcterms:W3CDTF">2018-03-08T06:49:00Z</dcterms:created>
  <dcterms:modified xsi:type="dcterms:W3CDTF">2018-03-12T07:55:00Z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-868648118</vt:i4>
  </property>
</Properties>
</file>