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83C" w:rsidRDefault="00BF183C" w:rsidP="00BF183C">
      <w:pPr>
        <w:tabs>
          <w:tab w:val="left" w:pos="8931"/>
          <w:tab w:val="left" w:pos="9072"/>
        </w:tabs>
        <w:spacing w:after="0" w:line="240" w:lineRule="auto"/>
        <w:ind w:right="-1"/>
        <w:jc w:val="center"/>
        <w:rPr>
          <w:rFonts w:asciiTheme="majorBidi" w:hAnsiTheme="majorBidi" w:cstheme="majorBidi"/>
          <w:rtl/>
        </w:rPr>
      </w:pPr>
      <w:bookmarkStart w:id="0" w:name="_GoBack"/>
      <w:r w:rsidRPr="000A75C1">
        <w:rPr>
          <w:rFonts w:asciiTheme="majorBidi" w:hAnsiTheme="majorBidi" w:cstheme="majorBidi"/>
          <w:b/>
          <w:bCs/>
          <w:sz w:val="24"/>
          <w:szCs w:val="24"/>
        </w:rPr>
        <w:t>Insulin-like Growth Factor 2 Binding Protein 2 Gene Polymorphism in Egyptian Patients with Type 2 Diabetes</w:t>
      </w:r>
      <w:bookmarkEnd w:id="0"/>
      <w:r w:rsidRPr="005E246D">
        <w:rPr>
          <w:rFonts w:asciiTheme="majorBidi" w:hAnsiTheme="majorBidi" w:cstheme="majorBidi"/>
          <w:b/>
          <w:bCs/>
          <w:sz w:val="28"/>
          <w:szCs w:val="28"/>
        </w:rPr>
        <w:br/>
      </w:r>
      <w:r w:rsidRPr="005E246D">
        <w:rPr>
          <w:rFonts w:asciiTheme="majorBidi" w:hAnsiTheme="majorBidi" w:cstheme="majorBidi"/>
        </w:rPr>
        <w:br/>
      </w:r>
      <w:r w:rsidRPr="009A5357">
        <w:rPr>
          <w:rFonts w:asciiTheme="majorBidi" w:hAnsiTheme="majorBidi" w:cstheme="majorBidi"/>
        </w:rPr>
        <w:t xml:space="preserve">Mohammed A. </w:t>
      </w:r>
      <w:proofErr w:type="spellStart"/>
      <w:r w:rsidRPr="009A5357">
        <w:rPr>
          <w:rFonts w:asciiTheme="majorBidi" w:hAnsiTheme="majorBidi" w:cstheme="majorBidi"/>
        </w:rPr>
        <w:t>Hajar</w:t>
      </w:r>
      <w:proofErr w:type="spellEnd"/>
      <w:r w:rsidRPr="005E246D">
        <w:rPr>
          <w:rFonts w:asciiTheme="majorBidi" w:hAnsiTheme="majorBidi" w:cstheme="majorBidi"/>
          <w:b/>
          <w:bCs/>
          <w:vertAlign w:val="superscript"/>
        </w:rPr>
        <w:t>(1</w:t>
      </w:r>
      <w:r w:rsidRPr="009A5357">
        <w:rPr>
          <w:rFonts w:asciiTheme="majorBidi" w:hAnsiTheme="majorBidi" w:cstheme="majorBidi"/>
          <w:b/>
          <w:bCs/>
          <w:u w:val="single"/>
          <w:vertAlign w:val="superscript"/>
        </w:rPr>
        <w:t>)</w:t>
      </w:r>
      <w:r w:rsidRPr="009A5357">
        <w:rPr>
          <w:rFonts w:asciiTheme="majorBidi" w:hAnsiTheme="majorBidi" w:cstheme="majorBidi"/>
          <w:b/>
          <w:bCs/>
          <w:u w:val="single"/>
        </w:rPr>
        <w:t xml:space="preserve">, </w:t>
      </w:r>
      <w:proofErr w:type="spellStart"/>
      <w:r w:rsidRPr="009A5357">
        <w:rPr>
          <w:rFonts w:asciiTheme="majorBidi" w:hAnsiTheme="majorBidi" w:cstheme="majorBidi"/>
          <w:b/>
          <w:bCs/>
          <w:u w:val="single"/>
        </w:rPr>
        <w:t>Nagwan</w:t>
      </w:r>
      <w:proofErr w:type="spellEnd"/>
      <w:r w:rsidRPr="009A5357">
        <w:rPr>
          <w:rFonts w:asciiTheme="majorBidi" w:hAnsiTheme="majorBidi" w:cstheme="majorBidi"/>
          <w:b/>
          <w:bCs/>
          <w:u w:val="single"/>
        </w:rPr>
        <w:t xml:space="preserve"> A. </w:t>
      </w:r>
      <w:proofErr w:type="spellStart"/>
      <w:r w:rsidRPr="009A5357">
        <w:rPr>
          <w:rFonts w:asciiTheme="majorBidi" w:hAnsiTheme="majorBidi" w:cstheme="majorBidi"/>
          <w:b/>
          <w:bCs/>
          <w:u w:val="single"/>
        </w:rPr>
        <w:t>Sabek</w:t>
      </w:r>
      <w:proofErr w:type="spellEnd"/>
      <w:r w:rsidRPr="005E246D">
        <w:rPr>
          <w:rFonts w:asciiTheme="majorBidi" w:hAnsiTheme="majorBidi" w:cstheme="majorBidi"/>
          <w:b/>
          <w:bCs/>
          <w:vertAlign w:val="superscript"/>
        </w:rPr>
        <w:t>(1)*</w:t>
      </w:r>
      <w:r w:rsidRPr="005E246D">
        <w:rPr>
          <w:rFonts w:asciiTheme="majorBidi" w:hAnsiTheme="majorBidi" w:cstheme="majorBidi"/>
          <w:b/>
          <w:bCs/>
        </w:rPr>
        <w:t xml:space="preserve">, </w:t>
      </w:r>
      <w:proofErr w:type="spellStart"/>
      <w:r w:rsidRPr="009A5357">
        <w:rPr>
          <w:rFonts w:asciiTheme="majorBidi" w:hAnsiTheme="majorBidi" w:cstheme="majorBidi"/>
        </w:rPr>
        <w:t>Amany</w:t>
      </w:r>
      <w:proofErr w:type="spellEnd"/>
      <w:r w:rsidRPr="009A5357">
        <w:rPr>
          <w:rFonts w:asciiTheme="majorBidi" w:hAnsiTheme="majorBidi" w:cstheme="majorBidi"/>
        </w:rPr>
        <w:t xml:space="preserve"> Y. El-</w:t>
      </w:r>
      <w:proofErr w:type="spellStart"/>
      <w:r w:rsidRPr="003C23F0">
        <w:rPr>
          <w:rFonts w:asciiTheme="majorBidi" w:hAnsiTheme="majorBidi" w:cstheme="majorBidi"/>
          <w:noProof/>
        </w:rPr>
        <w:t>kazaz</w:t>
      </w:r>
      <w:proofErr w:type="spellEnd"/>
      <w:r w:rsidRPr="009A5357">
        <w:rPr>
          <w:rFonts w:asciiTheme="majorBidi" w:hAnsiTheme="majorBidi" w:cstheme="majorBidi"/>
          <w:vertAlign w:val="superscript"/>
        </w:rPr>
        <w:t>(1)</w:t>
      </w:r>
      <w:r w:rsidRPr="009A5357">
        <w:rPr>
          <w:rFonts w:asciiTheme="majorBidi" w:hAnsiTheme="majorBidi" w:cstheme="majorBidi"/>
        </w:rPr>
        <w:t xml:space="preserve"> </w:t>
      </w:r>
      <w:proofErr w:type="spellStart"/>
      <w:r w:rsidRPr="009A5357">
        <w:rPr>
          <w:rFonts w:asciiTheme="majorBidi" w:hAnsiTheme="majorBidi" w:cstheme="majorBidi"/>
        </w:rPr>
        <w:t>Fathalla</w:t>
      </w:r>
      <w:proofErr w:type="spellEnd"/>
      <w:r w:rsidRPr="009A5357">
        <w:rPr>
          <w:rFonts w:asciiTheme="majorBidi" w:hAnsiTheme="majorBidi" w:cstheme="majorBidi"/>
        </w:rPr>
        <w:t xml:space="preserve"> M. Hassan</w:t>
      </w:r>
      <w:r w:rsidRPr="009A5357">
        <w:rPr>
          <w:rFonts w:asciiTheme="majorBidi" w:hAnsiTheme="majorBidi" w:cstheme="majorBidi"/>
          <w:vertAlign w:val="superscript"/>
        </w:rPr>
        <w:t>(1)</w:t>
      </w:r>
      <w:r>
        <w:rPr>
          <w:rFonts w:asciiTheme="majorBidi" w:hAnsiTheme="majorBidi" w:cstheme="majorBidi"/>
        </w:rPr>
        <w:t xml:space="preserve">, </w:t>
      </w:r>
      <w:proofErr w:type="spellStart"/>
      <w:r w:rsidRPr="009A5357">
        <w:rPr>
          <w:rFonts w:asciiTheme="majorBidi" w:hAnsiTheme="majorBidi" w:cstheme="majorBidi"/>
        </w:rPr>
        <w:t>Abd</w:t>
      </w:r>
      <w:proofErr w:type="spellEnd"/>
    </w:p>
    <w:p w:rsidR="00BF183C" w:rsidRPr="009A5357" w:rsidRDefault="00BF183C" w:rsidP="00BF183C">
      <w:pPr>
        <w:tabs>
          <w:tab w:val="left" w:pos="8931"/>
          <w:tab w:val="left" w:pos="9072"/>
        </w:tabs>
        <w:spacing w:after="0" w:line="240" w:lineRule="auto"/>
        <w:ind w:right="-1"/>
        <w:jc w:val="center"/>
        <w:rPr>
          <w:rFonts w:asciiTheme="majorBidi" w:hAnsiTheme="majorBidi" w:cstheme="majorBidi"/>
          <w:sz w:val="20"/>
          <w:szCs w:val="20"/>
        </w:rPr>
      </w:pPr>
      <w:r>
        <w:rPr>
          <w:rFonts w:asciiTheme="majorBidi" w:hAnsiTheme="majorBidi" w:cstheme="majorBidi" w:hint="cs"/>
          <w:rtl/>
        </w:rPr>
        <w:t xml:space="preserve"> </w:t>
      </w:r>
      <w:r w:rsidRPr="009A5357">
        <w:rPr>
          <w:rFonts w:asciiTheme="majorBidi" w:hAnsiTheme="majorBidi" w:cstheme="majorBidi"/>
        </w:rPr>
        <w:t>el</w:t>
      </w:r>
      <w:r>
        <w:rPr>
          <w:rFonts w:asciiTheme="majorBidi" w:hAnsiTheme="majorBidi" w:cstheme="majorBidi" w:hint="cs"/>
          <w:rtl/>
        </w:rPr>
        <w:t>-</w:t>
      </w:r>
      <w:proofErr w:type="spellStart"/>
      <w:r w:rsidRPr="009A5357">
        <w:rPr>
          <w:rFonts w:asciiTheme="majorBidi" w:hAnsiTheme="majorBidi" w:cstheme="majorBidi"/>
        </w:rPr>
        <w:t>raouf</w:t>
      </w:r>
      <w:proofErr w:type="spellEnd"/>
      <w:r w:rsidRPr="009A5357">
        <w:rPr>
          <w:rFonts w:asciiTheme="majorBidi" w:hAnsiTheme="majorBidi" w:cstheme="majorBidi"/>
        </w:rPr>
        <w:t xml:space="preserve"> M. </w:t>
      </w:r>
      <w:proofErr w:type="spellStart"/>
      <w:r w:rsidRPr="009A5357">
        <w:rPr>
          <w:rFonts w:asciiTheme="majorBidi" w:hAnsiTheme="majorBidi" w:cstheme="majorBidi"/>
        </w:rPr>
        <w:t>Eldeib</w:t>
      </w:r>
      <w:proofErr w:type="spellEnd"/>
      <w:r w:rsidRPr="009A5357">
        <w:rPr>
          <w:rFonts w:asciiTheme="majorBidi" w:hAnsiTheme="majorBidi" w:cstheme="majorBidi"/>
          <w:vertAlign w:val="superscript"/>
        </w:rPr>
        <w:t>(2)</w:t>
      </w:r>
      <w:r w:rsidRPr="009A5357">
        <w:rPr>
          <w:rFonts w:asciiTheme="majorBidi" w:hAnsiTheme="majorBidi" w:cstheme="majorBidi"/>
        </w:rPr>
        <w:t xml:space="preserve"> </w:t>
      </w:r>
      <w:r w:rsidRPr="009A5357">
        <w:rPr>
          <w:rFonts w:asciiTheme="majorBidi" w:hAnsiTheme="majorBidi" w:cstheme="majorBidi"/>
        </w:rPr>
        <w:br/>
      </w:r>
    </w:p>
    <w:p w:rsidR="00BF183C" w:rsidRDefault="00BF183C" w:rsidP="00BF183C">
      <w:pPr>
        <w:tabs>
          <w:tab w:val="left" w:pos="8931"/>
          <w:tab w:val="left" w:pos="9072"/>
        </w:tabs>
        <w:spacing w:after="0" w:line="240" w:lineRule="auto"/>
        <w:ind w:right="43"/>
        <w:jc w:val="center"/>
        <w:rPr>
          <w:rFonts w:asciiTheme="majorBidi" w:hAnsiTheme="majorBidi" w:cstheme="majorBidi"/>
          <w:sz w:val="24"/>
          <w:szCs w:val="24"/>
        </w:rPr>
      </w:pPr>
      <w:r w:rsidRPr="005E246D">
        <w:rPr>
          <w:rFonts w:asciiTheme="majorBidi" w:hAnsiTheme="majorBidi" w:cstheme="majorBidi"/>
          <w:sz w:val="24"/>
          <w:szCs w:val="24"/>
          <w:vertAlign w:val="superscript"/>
        </w:rPr>
        <w:t>1</w:t>
      </w:r>
      <w:r w:rsidRPr="005E246D">
        <w:rPr>
          <w:rFonts w:asciiTheme="majorBidi" w:hAnsiTheme="majorBidi" w:cstheme="majorBidi"/>
          <w:sz w:val="24"/>
          <w:szCs w:val="24"/>
        </w:rPr>
        <w:t xml:space="preserve">Medical Biochemistry and Molecular Biology, </w:t>
      </w:r>
      <w:r w:rsidRPr="005E246D">
        <w:rPr>
          <w:rFonts w:asciiTheme="majorBidi" w:hAnsiTheme="majorBidi" w:cstheme="majorBidi"/>
          <w:vertAlign w:val="superscript"/>
        </w:rPr>
        <w:t>2</w:t>
      </w:r>
      <w:r w:rsidRPr="005E246D">
        <w:rPr>
          <w:rFonts w:asciiTheme="majorBidi" w:hAnsiTheme="majorBidi" w:cstheme="majorBidi"/>
          <w:sz w:val="24"/>
          <w:szCs w:val="24"/>
        </w:rPr>
        <w:t>Internal</w:t>
      </w:r>
      <w:r w:rsidRPr="005E246D">
        <w:rPr>
          <w:rFonts w:asciiTheme="majorBidi" w:hAnsiTheme="majorBidi" w:cstheme="majorBidi"/>
        </w:rPr>
        <w:t xml:space="preserve"> </w:t>
      </w:r>
      <w:r w:rsidRPr="005E246D">
        <w:rPr>
          <w:rFonts w:asciiTheme="majorBidi" w:hAnsiTheme="majorBidi" w:cstheme="majorBidi"/>
          <w:sz w:val="24"/>
          <w:szCs w:val="24"/>
        </w:rPr>
        <w:t>Medicine Departments, Faculty of Medicine, Suez Canal University, Round Road, Ismailia, Egypt</w:t>
      </w:r>
    </w:p>
    <w:p w:rsidR="00BF183C" w:rsidRDefault="00BF183C" w:rsidP="00BF183C">
      <w:pPr>
        <w:pStyle w:val="Default"/>
        <w:spacing w:line="276" w:lineRule="auto"/>
        <w:jc w:val="both"/>
        <w:rPr>
          <w:b/>
          <w:bCs/>
          <w:color w:val="auto"/>
        </w:rPr>
      </w:pPr>
    </w:p>
    <w:p w:rsidR="00BF183C" w:rsidRPr="000A75C1" w:rsidRDefault="00BF183C" w:rsidP="00BF183C">
      <w:pPr>
        <w:pStyle w:val="Default"/>
        <w:spacing w:line="276" w:lineRule="auto"/>
        <w:jc w:val="center"/>
        <w:rPr>
          <w:b/>
          <w:bCs/>
          <w:color w:val="auto"/>
        </w:rPr>
      </w:pPr>
      <w:r w:rsidRPr="000A75C1">
        <w:rPr>
          <w:b/>
          <w:bCs/>
          <w:color w:val="auto"/>
        </w:rPr>
        <w:t>Abstract</w:t>
      </w:r>
    </w:p>
    <w:p w:rsidR="00BF183C" w:rsidRDefault="00BF183C" w:rsidP="00BF183C">
      <w:pPr>
        <w:pStyle w:val="Default"/>
        <w:spacing w:line="360" w:lineRule="auto"/>
        <w:jc w:val="both"/>
        <w:rPr>
          <w:rFonts w:asciiTheme="majorBidi" w:hAnsiTheme="majorBidi" w:cstheme="majorBidi"/>
        </w:rPr>
      </w:pPr>
    </w:p>
    <w:p w:rsidR="00BF183C" w:rsidRDefault="00BF183C" w:rsidP="00BF183C">
      <w:pPr>
        <w:pStyle w:val="Default"/>
        <w:spacing w:line="360" w:lineRule="auto"/>
        <w:ind w:left="-284"/>
        <w:jc w:val="both"/>
        <w:rPr>
          <w:rFonts w:asciiTheme="majorBidi" w:hAnsiTheme="majorBidi" w:cstheme="majorBidi"/>
        </w:rPr>
      </w:pPr>
      <w:r w:rsidRPr="000A75C1">
        <w:rPr>
          <w:rFonts w:asciiTheme="majorBidi" w:hAnsiTheme="majorBidi" w:cstheme="majorBidi"/>
        </w:rPr>
        <w:t>Genome-wide association studies (GWAS) identified novel genes associated with type 2 diabetes mellitus (T2DM) which have been replicated in different ethnic populations and yielded inconsistent results. The insulin-like growth factor mRNA-2 binding protein 2 (</w:t>
      </w:r>
      <w:r w:rsidRPr="000A75C1">
        <w:rPr>
          <w:rStyle w:val="Emphasis"/>
          <w:rFonts w:asciiTheme="majorBidi" w:hAnsiTheme="majorBidi" w:cstheme="majorBidi"/>
          <w:shd w:val="clear" w:color="auto" w:fill="FFFFFF"/>
        </w:rPr>
        <w:t xml:space="preserve">IGF2BP2) </w:t>
      </w:r>
      <w:r w:rsidRPr="000A75C1">
        <w:rPr>
          <w:rFonts w:asciiTheme="majorBidi" w:hAnsiTheme="majorBidi" w:cstheme="majorBidi"/>
          <w:shd w:val="clear" w:color="auto" w:fill="FFFFFF"/>
        </w:rPr>
        <w:t>is highly expressed in pancreatic islets, which play roles in normal embryonic growth and development.</w:t>
      </w:r>
      <w:r w:rsidRPr="000A75C1">
        <w:t xml:space="preserve"> </w:t>
      </w:r>
      <w:r w:rsidRPr="000A75C1">
        <w:rPr>
          <w:rFonts w:asciiTheme="majorBidi" w:hAnsiTheme="majorBidi" w:cstheme="majorBidi"/>
        </w:rPr>
        <w:t>Our study aimed to replicate the association between insulin growth factor 2 mRNA binding protein 2 (IGF2BP2) gene (rs4402960) variant and T2DM in Egyptian diabetic patients resident in Ismailia city. The study included 152 subjects (76 unrelated T2DM patients and 76 control subjects) who were genotyped by polymerase chain reaction-restriction fragment length polymorphism technique (PCR- RFLP). Age, sex, blood pressure, BMI and Waist Circumference were recorded, and blood glucose, serum triglyceride, total cholesterol (TC), low-density lipoprotein-cholesterol (LDL-</w:t>
      </w:r>
      <w:r>
        <w:rPr>
          <w:rFonts w:asciiTheme="majorBidi" w:hAnsiTheme="majorBidi" w:cstheme="majorBidi"/>
        </w:rPr>
        <w:t>C</w:t>
      </w:r>
      <w:r w:rsidRPr="000A75C1">
        <w:rPr>
          <w:rFonts w:asciiTheme="majorBidi" w:hAnsiTheme="majorBidi" w:cstheme="majorBidi"/>
        </w:rPr>
        <w:t xml:space="preserve">), high-density </w:t>
      </w:r>
      <w:r w:rsidRPr="007F7B00">
        <w:rPr>
          <w:rFonts w:asciiTheme="majorBidi" w:hAnsiTheme="majorBidi" w:cstheme="majorBidi"/>
          <w:noProof/>
        </w:rPr>
        <w:t>lipoprotein</w:t>
      </w:r>
      <w:r>
        <w:rPr>
          <w:rFonts w:asciiTheme="majorBidi" w:hAnsiTheme="majorBidi" w:cstheme="majorBidi"/>
          <w:noProof/>
        </w:rPr>
        <w:t xml:space="preserve"> </w:t>
      </w:r>
      <w:r w:rsidRPr="007F7B00">
        <w:rPr>
          <w:rFonts w:asciiTheme="majorBidi" w:hAnsiTheme="majorBidi" w:cstheme="majorBidi"/>
          <w:noProof/>
        </w:rPr>
        <w:t>cholesterol</w:t>
      </w:r>
      <w:r w:rsidRPr="000A75C1">
        <w:rPr>
          <w:rFonts w:asciiTheme="majorBidi" w:hAnsiTheme="majorBidi" w:cstheme="majorBidi"/>
        </w:rPr>
        <w:t xml:space="preserve"> (HDL-</w:t>
      </w:r>
      <w:r>
        <w:rPr>
          <w:rFonts w:asciiTheme="majorBidi" w:hAnsiTheme="majorBidi" w:cstheme="majorBidi"/>
        </w:rPr>
        <w:t>C</w:t>
      </w:r>
      <w:r w:rsidRPr="000A75C1">
        <w:rPr>
          <w:rFonts w:asciiTheme="majorBidi" w:hAnsiTheme="majorBidi" w:cstheme="majorBidi"/>
        </w:rPr>
        <w:t xml:space="preserve">) and homeostatic model assessment (HOMA) indices were determined. Fasting serum insulin and IGF2BP2 protein levels were </w:t>
      </w:r>
      <w:r w:rsidRPr="000A75C1">
        <w:rPr>
          <w:rFonts w:asciiTheme="majorBidi" w:hAnsiTheme="majorBidi" w:cstheme="majorBidi"/>
          <w:color w:val="000000" w:themeColor="text1"/>
        </w:rPr>
        <w:t>analyzed by ELISA.</w:t>
      </w:r>
      <w:r w:rsidRPr="000A75C1">
        <w:rPr>
          <w:rFonts w:ascii="TimesNRMT-Bold" w:hAnsi="TimesNRMT-Bold" w:cs="TimesNRMT-Bold"/>
          <w:b/>
          <w:bCs/>
        </w:rPr>
        <w:t xml:space="preserve"> </w:t>
      </w:r>
      <w:r w:rsidRPr="000A75C1">
        <w:rPr>
          <w:rFonts w:ascii="TimesNRMT-Bold" w:hAnsi="TimesNRMT-Bold" w:cs="TimesNRMT-Bold"/>
        </w:rPr>
        <w:t>For</w:t>
      </w:r>
      <w:r w:rsidRPr="000A75C1">
        <w:rPr>
          <w:rFonts w:ascii="TimesNRMT-Bold" w:hAnsi="TimesNRMT-Bold" w:cs="TimesNRMT-Bold"/>
          <w:b/>
          <w:bCs/>
        </w:rPr>
        <w:t xml:space="preserve"> </w:t>
      </w:r>
      <w:r w:rsidRPr="000A75C1">
        <w:rPr>
          <w:rFonts w:asciiTheme="majorBidi" w:hAnsiTheme="majorBidi" w:cstheme="majorBidi"/>
        </w:rPr>
        <w:t xml:space="preserve">rs440960 variant of IGF2BP2 gene, </w:t>
      </w:r>
      <w:r w:rsidRPr="000A75C1">
        <w:rPr>
          <w:rFonts w:asciiTheme="majorBidi" w:eastAsia="Times New Roman" w:hAnsiTheme="majorBidi" w:cstheme="majorBidi"/>
        </w:rPr>
        <w:t xml:space="preserve">risk allele T </w:t>
      </w:r>
      <w:r w:rsidRPr="000A75C1">
        <w:rPr>
          <w:rFonts w:asciiTheme="majorBidi" w:hAnsiTheme="majorBidi" w:cstheme="majorBidi"/>
        </w:rPr>
        <w:t>frequency</w:t>
      </w:r>
      <w:r w:rsidRPr="000A75C1">
        <w:rPr>
          <w:rFonts w:asciiTheme="majorBidi" w:eastAsia="Times New Roman" w:hAnsiTheme="majorBidi" w:cstheme="majorBidi"/>
        </w:rPr>
        <w:t xml:space="preserve"> </w:t>
      </w:r>
      <w:r w:rsidRPr="000A75C1">
        <w:rPr>
          <w:rFonts w:asciiTheme="majorBidi" w:hAnsiTheme="majorBidi" w:cstheme="majorBidi"/>
        </w:rPr>
        <w:t xml:space="preserve">was associated with T2DM [OR (95% CI)=1.82 (1.14- 2.93), P= 0.012]. </w:t>
      </w:r>
      <w:r w:rsidRPr="000A75C1">
        <w:t xml:space="preserve">The frequency of T/T genotype </w:t>
      </w:r>
      <w:r w:rsidRPr="000A75C1">
        <w:rPr>
          <w:i/>
          <w:iCs/>
        </w:rPr>
        <w:t xml:space="preserve">versus </w:t>
      </w:r>
      <w:r w:rsidRPr="000A75C1">
        <w:t>(GG+G/T) genotypes was significantly higher in T2DM patients compared to controls (22.4% vs. 77.6% and 5.3% vs. 94.7%, respectively), (P=0.002). This association remained significant under additive (P=0.003) and co-dominant (P=0.009) genetic models</w:t>
      </w:r>
      <w:r w:rsidRPr="000A75C1">
        <w:rPr>
          <w:rFonts w:asciiTheme="majorBidi" w:hAnsiTheme="majorBidi" w:cstheme="majorBidi"/>
        </w:rPr>
        <w:t xml:space="preserve">. From this study, it could be concluded that </w:t>
      </w:r>
      <w:r w:rsidRPr="000A75C1">
        <w:rPr>
          <w:rFonts w:asciiTheme="majorBidi" w:hAnsiTheme="majorBidi" w:cstheme="majorBidi"/>
          <w:i/>
          <w:iCs/>
        </w:rPr>
        <w:t>IGF2BP2</w:t>
      </w:r>
      <w:r w:rsidRPr="000A75C1">
        <w:rPr>
          <w:rFonts w:asciiTheme="majorBidi" w:hAnsiTheme="majorBidi" w:cstheme="majorBidi"/>
        </w:rPr>
        <w:t xml:space="preserve"> rs4402960 polymorphism was found to be significantly associated with the increased risk of T2DM.</w:t>
      </w:r>
    </w:p>
    <w:p w:rsidR="00BF183C" w:rsidRDefault="00BF183C" w:rsidP="00BF183C">
      <w:pPr>
        <w:pStyle w:val="Default"/>
        <w:spacing w:line="360" w:lineRule="auto"/>
        <w:ind w:left="-284"/>
        <w:jc w:val="both"/>
        <w:rPr>
          <w:rFonts w:asciiTheme="majorBidi" w:hAnsiTheme="majorBidi" w:cstheme="majorBidi"/>
        </w:rPr>
      </w:pPr>
    </w:p>
    <w:p w:rsidR="00BF183C" w:rsidRDefault="00BF183C" w:rsidP="00BF183C">
      <w:pPr>
        <w:spacing w:after="0"/>
        <w:ind w:left="-284"/>
        <w:jc w:val="both"/>
        <w:rPr>
          <w:rFonts w:ascii="Times New Roman" w:hAnsi="Times New Roman" w:cs="Times New Roman"/>
          <w:b/>
          <w:bCs/>
          <w:sz w:val="24"/>
          <w:szCs w:val="24"/>
        </w:rPr>
      </w:pPr>
    </w:p>
    <w:p w:rsidR="00BF183C" w:rsidRPr="0054353D" w:rsidRDefault="00BF183C" w:rsidP="00BF183C">
      <w:pPr>
        <w:spacing w:after="0"/>
        <w:ind w:left="-284"/>
        <w:jc w:val="both"/>
        <w:rPr>
          <w:rFonts w:asciiTheme="majorBidi" w:hAnsiTheme="majorBidi" w:cstheme="majorBidi"/>
          <w:b/>
          <w:bCs/>
          <w:sz w:val="20"/>
          <w:szCs w:val="20"/>
        </w:rPr>
      </w:pPr>
      <w:r>
        <w:rPr>
          <w:rFonts w:ascii="Times New Roman" w:hAnsi="Times New Roman" w:cs="Times New Roman"/>
          <w:b/>
          <w:bCs/>
          <w:sz w:val="24"/>
          <w:szCs w:val="24"/>
        </w:rPr>
        <w:t xml:space="preserve"> </w:t>
      </w:r>
      <w:r w:rsidRPr="001B14C7">
        <w:rPr>
          <w:rFonts w:ascii="Times New Roman" w:hAnsi="Times New Roman" w:cs="Times New Roman"/>
          <w:b/>
          <w:bCs/>
          <w:sz w:val="24"/>
          <w:szCs w:val="24"/>
        </w:rPr>
        <w:t xml:space="preserve">Keywords: </w:t>
      </w:r>
      <w:r w:rsidRPr="001B14C7">
        <w:rPr>
          <w:rFonts w:ascii="Times New Roman" w:hAnsi="Times New Roman" w:cs="Times New Roman"/>
          <w:sz w:val="24"/>
          <w:szCs w:val="24"/>
        </w:rPr>
        <w:t>Type 2 diabetes mellitus, Single nucleotide polymorphism, IGF2BP2.</w:t>
      </w:r>
      <w:r>
        <w:rPr>
          <w:rFonts w:asciiTheme="majorBidi" w:hAnsiTheme="majorBidi" w:cstheme="majorBidi"/>
          <w:b/>
          <w:bCs/>
          <w:sz w:val="20"/>
          <w:szCs w:val="20"/>
        </w:rPr>
        <w:t xml:space="preserve"> </w:t>
      </w:r>
    </w:p>
    <w:p w:rsidR="00BF183C" w:rsidRDefault="00BF183C" w:rsidP="00BF183C">
      <w:pPr>
        <w:spacing w:after="0" w:line="240" w:lineRule="auto"/>
        <w:ind w:right="-483"/>
        <w:rPr>
          <w:rFonts w:asciiTheme="majorBidi" w:hAnsiTheme="majorBidi" w:cstheme="majorBidi"/>
          <w:b/>
          <w:bCs/>
          <w:sz w:val="24"/>
          <w:szCs w:val="24"/>
        </w:rPr>
      </w:pPr>
    </w:p>
    <w:p w:rsidR="000271C6" w:rsidRDefault="000271C6"/>
    <w:sectPr w:rsidR="000271C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RMT-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wNTO1NDQzMjeyMDFV0lEKTi0uzszPAykwrAUAOXeDUCwAAAA="/>
  </w:docVars>
  <w:rsids>
    <w:rsidRoot w:val="00BF183C"/>
    <w:rsid w:val="00007F80"/>
    <w:rsid w:val="00010181"/>
    <w:rsid w:val="00014B42"/>
    <w:rsid w:val="0002142D"/>
    <w:rsid w:val="000259B6"/>
    <w:rsid w:val="000271C6"/>
    <w:rsid w:val="00042C4A"/>
    <w:rsid w:val="0004343E"/>
    <w:rsid w:val="00044F5C"/>
    <w:rsid w:val="000502C2"/>
    <w:rsid w:val="0005174D"/>
    <w:rsid w:val="00052D0F"/>
    <w:rsid w:val="00054EC4"/>
    <w:rsid w:val="00056E6E"/>
    <w:rsid w:val="00060904"/>
    <w:rsid w:val="000754CC"/>
    <w:rsid w:val="00082C79"/>
    <w:rsid w:val="00091BB0"/>
    <w:rsid w:val="000A0458"/>
    <w:rsid w:val="000A220D"/>
    <w:rsid w:val="000B01AF"/>
    <w:rsid w:val="000C6326"/>
    <w:rsid w:val="000C67E3"/>
    <w:rsid w:val="000D051D"/>
    <w:rsid w:val="000D26F4"/>
    <w:rsid w:val="000D30B0"/>
    <w:rsid w:val="000E0795"/>
    <w:rsid w:val="000E2FC9"/>
    <w:rsid w:val="000E50E0"/>
    <w:rsid w:val="000F5EA8"/>
    <w:rsid w:val="000F7FED"/>
    <w:rsid w:val="00100317"/>
    <w:rsid w:val="001142EA"/>
    <w:rsid w:val="0011488A"/>
    <w:rsid w:val="00122922"/>
    <w:rsid w:val="00124B8B"/>
    <w:rsid w:val="00125EF9"/>
    <w:rsid w:val="00152B5D"/>
    <w:rsid w:val="00155D74"/>
    <w:rsid w:val="001560FD"/>
    <w:rsid w:val="00161098"/>
    <w:rsid w:val="00165D67"/>
    <w:rsid w:val="00170BF5"/>
    <w:rsid w:val="00170D5D"/>
    <w:rsid w:val="001762CC"/>
    <w:rsid w:val="00176BAA"/>
    <w:rsid w:val="0018217B"/>
    <w:rsid w:val="00187F4F"/>
    <w:rsid w:val="001905D2"/>
    <w:rsid w:val="00191861"/>
    <w:rsid w:val="00196218"/>
    <w:rsid w:val="001A1DA5"/>
    <w:rsid w:val="001A50B0"/>
    <w:rsid w:val="001A72A7"/>
    <w:rsid w:val="001A7FC5"/>
    <w:rsid w:val="001B21C7"/>
    <w:rsid w:val="001C6AFC"/>
    <w:rsid w:val="001D156B"/>
    <w:rsid w:val="001D396A"/>
    <w:rsid w:val="001D3C28"/>
    <w:rsid w:val="001E6205"/>
    <w:rsid w:val="001F473D"/>
    <w:rsid w:val="00204207"/>
    <w:rsid w:val="00210B05"/>
    <w:rsid w:val="002168EA"/>
    <w:rsid w:val="002170C0"/>
    <w:rsid w:val="00217AB2"/>
    <w:rsid w:val="0022153F"/>
    <w:rsid w:val="002244DE"/>
    <w:rsid w:val="00246136"/>
    <w:rsid w:val="00246902"/>
    <w:rsid w:val="002626BD"/>
    <w:rsid w:val="00267972"/>
    <w:rsid w:val="00273A74"/>
    <w:rsid w:val="0027458C"/>
    <w:rsid w:val="0027494B"/>
    <w:rsid w:val="00282BB3"/>
    <w:rsid w:val="00284D5B"/>
    <w:rsid w:val="00286B34"/>
    <w:rsid w:val="00287360"/>
    <w:rsid w:val="0029698D"/>
    <w:rsid w:val="0029755E"/>
    <w:rsid w:val="002A5E0D"/>
    <w:rsid w:val="002A781A"/>
    <w:rsid w:val="002B2BA0"/>
    <w:rsid w:val="002C0577"/>
    <w:rsid w:val="002D53B0"/>
    <w:rsid w:val="002D65D5"/>
    <w:rsid w:val="002E06AF"/>
    <w:rsid w:val="002E42A0"/>
    <w:rsid w:val="002F3B19"/>
    <w:rsid w:val="00305369"/>
    <w:rsid w:val="00310C0D"/>
    <w:rsid w:val="0031282C"/>
    <w:rsid w:val="003161C2"/>
    <w:rsid w:val="00322DE0"/>
    <w:rsid w:val="00325601"/>
    <w:rsid w:val="00327E84"/>
    <w:rsid w:val="0033269D"/>
    <w:rsid w:val="0033634A"/>
    <w:rsid w:val="00337738"/>
    <w:rsid w:val="00351345"/>
    <w:rsid w:val="003544E3"/>
    <w:rsid w:val="00361C22"/>
    <w:rsid w:val="00367663"/>
    <w:rsid w:val="003820F1"/>
    <w:rsid w:val="003842C4"/>
    <w:rsid w:val="003958CD"/>
    <w:rsid w:val="003B1A1A"/>
    <w:rsid w:val="003B6EC8"/>
    <w:rsid w:val="003B77A8"/>
    <w:rsid w:val="003C5F45"/>
    <w:rsid w:val="003D0355"/>
    <w:rsid w:val="003D4EFB"/>
    <w:rsid w:val="003D70E9"/>
    <w:rsid w:val="003E01FC"/>
    <w:rsid w:val="003E2F69"/>
    <w:rsid w:val="003F24FD"/>
    <w:rsid w:val="00401DDB"/>
    <w:rsid w:val="00422395"/>
    <w:rsid w:val="004267C0"/>
    <w:rsid w:val="004334FA"/>
    <w:rsid w:val="004451A2"/>
    <w:rsid w:val="00451427"/>
    <w:rsid w:val="004514EB"/>
    <w:rsid w:val="00460CF4"/>
    <w:rsid w:val="00467C08"/>
    <w:rsid w:val="004703B0"/>
    <w:rsid w:val="004710BB"/>
    <w:rsid w:val="00474009"/>
    <w:rsid w:val="00480B90"/>
    <w:rsid w:val="00484877"/>
    <w:rsid w:val="00491A87"/>
    <w:rsid w:val="004973D7"/>
    <w:rsid w:val="004A7FD0"/>
    <w:rsid w:val="004B4B5F"/>
    <w:rsid w:val="004B5B0B"/>
    <w:rsid w:val="004C05D5"/>
    <w:rsid w:val="004D2FFF"/>
    <w:rsid w:val="004D3D1D"/>
    <w:rsid w:val="004D4169"/>
    <w:rsid w:val="004E4950"/>
    <w:rsid w:val="004F2526"/>
    <w:rsid w:val="004F53DC"/>
    <w:rsid w:val="004F6925"/>
    <w:rsid w:val="004F7789"/>
    <w:rsid w:val="0050689D"/>
    <w:rsid w:val="005107C8"/>
    <w:rsid w:val="005122EB"/>
    <w:rsid w:val="00534DCA"/>
    <w:rsid w:val="0054245A"/>
    <w:rsid w:val="005425DD"/>
    <w:rsid w:val="00547F57"/>
    <w:rsid w:val="00551865"/>
    <w:rsid w:val="00553484"/>
    <w:rsid w:val="00554D07"/>
    <w:rsid w:val="00555059"/>
    <w:rsid w:val="00555965"/>
    <w:rsid w:val="00572138"/>
    <w:rsid w:val="005741E2"/>
    <w:rsid w:val="00585459"/>
    <w:rsid w:val="005877AC"/>
    <w:rsid w:val="00590B5C"/>
    <w:rsid w:val="00590D5F"/>
    <w:rsid w:val="005A1333"/>
    <w:rsid w:val="005A1E21"/>
    <w:rsid w:val="005A2F67"/>
    <w:rsid w:val="005B4D1C"/>
    <w:rsid w:val="005B66A3"/>
    <w:rsid w:val="005D54D0"/>
    <w:rsid w:val="005E1DB1"/>
    <w:rsid w:val="005E2D32"/>
    <w:rsid w:val="00611872"/>
    <w:rsid w:val="006252AA"/>
    <w:rsid w:val="00634490"/>
    <w:rsid w:val="006412EC"/>
    <w:rsid w:val="00641B69"/>
    <w:rsid w:val="00647DB8"/>
    <w:rsid w:val="00674C91"/>
    <w:rsid w:val="006761F0"/>
    <w:rsid w:val="006830F9"/>
    <w:rsid w:val="006A43D8"/>
    <w:rsid w:val="006C2D05"/>
    <w:rsid w:val="006C3154"/>
    <w:rsid w:val="006D2187"/>
    <w:rsid w:val="006D5B73"/>
    <w:rsid w:val="006E5AE9"/>
    <w:rsid w:val="007000B7"/>
    <w:rsid w:val="007116A0"/>
    <w:rsid w:val="00713B01"/>
    <w:rsid w:val="00715258"/>
    <w:rsid w:val="0072202B"/>
    <w:rsid w:val="007239B8"/>
    <w:rsid w:val="00726CE7"/>
    <w:rsid w:val="00733111"/>
    <w:rsid w:val="007373A8"/>
    <w:rsid w:val="00753CB6"/>
    <w:rsid w:val="00762E15"/>
    <w:rsid w:val="00764A4E"/>
    <w:rsid w:val="00766544"/>
    <w:rsid w:val="00766D20"/>
    <w:rsid w:val="00777BCB"/>
    <w:rsid w:val="007817BF"/>
    <w:rsid w:val="00782343"/>
    <w:rsid w:val="00787982"/>
    <w:rsid w:val="00795990"/>
    <w:rsid w:val="00797A72"/>
    <w:rsid w:val="007A106B"/>
    <w:rsid w:val="007A2917"/>
    <w:rsid w:val="007A514F"/>
    <w:rsid w:val="007A5F7E"/>
    <w:rsid w:val="007B04FA"/>
    <w:rsid w:val="007B091C"/>
    <w:rsid w:val="007B2956"/>
    <w:rsid w:val="007B6B8F"/>
    <w:rsid w:val="007B7546"/>
    <w:rsid w:val="007C5494"/>
    <w:rsid w:val="007D0495"/>
    <w:rsid w:val="007D155B"/>
    <w:rsid w:val="007D2F73"/>
    <w:rsid w:val="007D7166"/>
    <w:rsid w:val="007E39E2"/>
    <w:rsid w:val="007E4255"/>
    <w:rsid w:val="007E5D0F"/>
    <w:rsid w:val="007F71FD"/>
    <w:rsid w:val="0081055C"/>
    <w:rsid w:val="00811ACF"/>
    <w:rsid w:val="00816146"/>
    <w:rsid w:val="00825EAF"/>
    <w:rsid w:val="00827FCC"/>
    <w:rsid w:val="008370F1"/>
    <w:rsid w:val="0084317B"/>
    <w:rsid w:val="0084397D"/>
    <w:rsid w:val="00847E35"/>
    <w:rsid w:val="00851BE4"/>
    <w:rsid w:val="00854E5F"/>
    <w:rsid w:val="00863693"/>
    <w:rsid w:val="008706AC"/>
    <w:rsid w:val="00877BE2"/>
    <w:rsid w:val="00893357"/>
    <w:rsid w:val="00894EAD"/>
    <w:rsid w:val="008A3D48"/>
    <w:rsid w:val="008A4B74"/>
    <w:rsid w:val="008B4D3F"/>
    <w:rsid w:val="008B7AD2"/>
    <w:rsid w:val="008C0621"/>
    <w:rsid w:val="008C4A6E"/>
    <w:rsid w:val="008C7480"/>
    <w:rsid w:val="008E084C"/>
    <w:rsid w:val="008F334D"/>
    <w:rsid w:val="008F4FFE"/>
    <w:rsid w:val="008F66AD"/>
    <w:rsid w:val="00902239"/>
    <w:rsid w:val="00904819"/>
    <w:rsid w:val="0092482F"/>
    <w:rsid w:val="009262A6"/>
    <w:rsid w:val="00930A3C"/>
    <w:rsid w:val="009458A6"/>
    <w:rsid w:val="009465B0"/>
    <w:rsid w:val="00950981"/>
    <w:rsid w:val="009516A1"/>
    <w:rsid w:val="009557B4"/>
    <w:rsid w:val="0096260A"/>
    <w:rsid w:val="00972258"/>
    <w:rsid w:val="00990A02"/>
    <w:rsid w:val="009924AC"/>
    <w:rsid w:val="009B1C1A"/>
    <w:rsid w:val="009C0127"/>
    <w:rsid w:val="009C3B25"/>
    <w:rsid w:val="009C47C6"/>
    <w:rsid w:val="009E05D0"/>
    <w:rsid w:val="009E152D"/>
    <w:rsid w:val="009E2377"/>
    <w:rsid w:val="009E299F"/>
    <w:rsid w:val="009E2CAD"/>
    <w:rsid w:val="009E643F"/>
    <w:rsid w:val="009F7C18"/>
    <w:rsid w:val="00A0422D"/>
    <w:rsid w:val="00A06FD2"/>
    <w:rsid w:val="00A07BA8"/>
    <w:rsid w:val="00A106CA"/>
    <w:rsid w:val="00A276FE"/>
    <w:rsid w:val="00A43155"/>
    <w:rsid w:val="00A448E6"/>
    <w:rsid w:val="00A55B87"/>
    <w:rsid w:val="00A7729C"/>
    <w:rsid w:val="00A77EE7"/>
    <w:rsid w:val="00A804A4"/>
    <w:rsid w:val="00A8745D"/>
    <w:rsid w:val="00A958FB"/>
    <w:rsid w:val="00AA76FA"/>
    <w:rsid w:val="00AB2CBA"/>
    <w:rsid w:val="00AB5638"/>
    <w:rsid w:val="00AB61B1"/>
    <w:rsid w:val="00AC3CF5"/>
    <w:rsid w:val="00AD5B1B"/>
    <w:rsid w:val="00AD67C6"/>
    <w:rsid w:val="00AE2277"/>
    <w:rsid w:val="00AE36B8"/>
    <w:rsid w:val="00AE4743"/>
    <w:rsid w:val="00B000B1"/>
    <w:rsid w:val="00B10A56"/>
    <w:rsid w:val="00B10BD3"/>
    <w:rsid w:val="00B22F8F"/>
    <w:rsid w:val="00B22FEF"/>
    <w:rsid w:val="00B24A4A"/>
    <w:rsid w:val="00B446A2"/>
    <w:rsid w:val="00B505EF"/>
    <w:rsid w:val="00B50D87"/>
    <w:rsid w:val="00B54814"/>
    <w:rsid w:val="00B5489B"/>
    <w:rsid w:val="00B54C74"/>
    <w:rsid w:val="00B55AF0"/>
    <w:rsid w:val="00B85812"/>
    <w:rsid w:val="00BA2DE5"/>
    <w:rsid w:val="00BB4ADC"/>
    <w:rsid w:val="00BB6808"/>
    <w:rsid w:val="00BC4550"/>
    <w:rsid w:val="00BD6169"/>
    <w:rsid w:val="00BF183C"/>
    <w:rsid w:val="00BF2EAB"/>
    <w:rsid w:val="00BF7503"/>
    <w:rsid w:val="00C02FCB"/>
    <w:rsid w:val="00C10028"/>
    <w:rsid w:val="00C14070"/>
    <w:rsid w:val="00C169E9"/>
    <w:rsid w:val="00C278BE"/>
    <w:rsid w:val="00C35FD6"/>
    <w:rsid w:val="00C43659"/>
    <w:rsid w:val="00C45032"/>
    <w:rsid w:val="00C46934"/>
    <w:rsid w:val="00C4734B"/>
    <w:rsid w:val="00C579BE"/>
    <w:rsid w:val="00C61710"/>
    <w:rsid w:val="00C70090"/>
    <w:rsid w:val="00C86EA2"/>
    <w:rsid w:val="00C87BB0"/>
    <w:rsid w:val="00C900FA"/>
    <w:rsid w:val="00C93327"/>
    <w:rsid w:val="00C978C3"/>
    <w:rsid w:val="00CA26F3"/>
    <w:rsid w:val="00CA3EED"/>
    <w:rsid w:val="00CB6EA6"/>
    <w:rsid w:val="00CC64D1"/>
    <w:rsid w:val="00CD221C"/>
    <w:rsid w:val="00CF3A86"/>
    <w:rsid w:val="00CF4844"/>
    <w:rsid w:val="00CF61B0"/>
    <w:rsid w:val="00D01AE1"/>
    <w:rsid w:val="00D043A7"/>
    <w:rsid w:val="00D0509A"/>
    <w:rsid w:val="00D05F45"/>
    <w:rsid w:val="00D11599"/>
    <w:rsid w:val="00D11E8A"/>
    <w:rsid w:val="00D166A6"/>
    <w:rsid w:val="00D24D7E"/>
    <w:rsid w:val="00D32916"/>
    <w:rsid w:val="00D35C53"/>
    <w:rsid w:val="00D475D6"/>
    <w:rsid w:val="00D54883"/>
    <w:rsid w:val="00D65F78"/>
    <w:rsid w:val="00D73325"/>
    <w:rsid w:val="00D81C62"/>
    <w:rsid w:val="00D91360"/>
    <w:rsid w:val="00D95F4E"/>
    <w:rsid w:val="00DA3CD3"/>
    <w:rsid w:val="00DB1A5A"/>
    <w:rsid w:val="00DB69C6"/>
    <w:rsid w:val="00DC2E2B"/>
    <w:rsid w:val="00DC329D"/>
    <w:rsid w:val="00DC3CAA"/>
    <w:rsid w:val="00DC5827"/>
    <w:rsid w:val="00DD0020"/>
    <w:rsid w:val="00DD1584"/>
    <w:rsid w:val="00DD6232"/>
    <w:rsid w:val="00DE6D58"/>
    <w:rsid w:val="00DF3E02"/>
    <w:rsid w:val="00DF686E"/>
    <w:rsid w:val="00E02A13"/>
    <w:rsid w:val="00E03FD9"/>
    <w:rsid w:val="00E04D0D"/>
    <w:rsid w:val="00E12BD6"/>
    <w:rsid w:val="00E278D3"/>
    <w:rsid w:val="00E342A2"/>
    <w:rsid w:val="00E35FB3"/>
    <w:rsid w:val="00E36827"/>
    <w:rsid w:val="00E4039C"/>
    <w:rsid w:val="00E404A1"/>
    <w:rsid w:val="00E6485E"/>
    <w:rsid w:val="00E70BF2"/>
    <w:rsid w:val="00E84753"/>
    <w:rsid w:val="00E9631E"/>
    <w:rsid w:val="00EA7FD5"/>
    <w:rsid w:val="00EB4367"/>
    <w:rsid w:val="00EC1866"/>
    <w:rsid w:val="00EC6A58"/>
    <w:rsid w:val="00ED3FAA"/>
    <w:rsid w:val="00ED7018"/>
    <w:rsid w:val="00EE4405"/>
    <w:rsid w:val="00EE659E"/>
    <w:rsid w:val="00EF3428"/>
    <w:rsid w:val="00EF56CA"/>
    <w:rsid w:val="00EF6411"/>
    <w:rsid w:val="00F0512A"/>
    <w:rsid w:val="00F2663D"/>
    <w:rsid w:val="00F30983"/>
    <w:rsid w:val="00F3142D"/>
    <w:rsid w:val="00F329D5"/>
    <w:rsid w:val="00F40A78"/>
    <w:rsid w:val="00F410E5"/>
    <w:rsid w:val="00F45049"/>
    <w:rsid w:val="00F52D29"/>
    <w:rsid w:val="00F62DA8"/>
    <w:rsid w:val="00F83619"/>
    <w:rsid w:val="00F853E2"/>
    <w:rsid w:val="00F85DCC"/>
    <w:rsid w:val="00F9144F"/>
    <w:rsid w:val="00F91753"/>
    <w:rsid w:val="00F93265"/>
    <w:rsid w:val="00F96CEC"/>
    <w:rsid w:val="00FA37BC"/>
    <w:rsid w:val="00FA551A"/>
    <w:rsid w:val="00FA61EE"/>
    <w:rsid w:val="00FA623B"/>
    <w:rsid w:val="00FC3E1C"/>
    <w:rsid w:val="00FC6B33"/>
    <w:rsid w:val="00FC7F05"/>
    <w:rsid w:val="00FD12AB"/>
    <w:rsid w:val="00FD7AE7"/>
    <w:rsid w:val="00FE1AEE"/>
    <w:rsid w:val="00FE6D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83C"/>
  </w:style>
  <w:style w:type="paragraph" w:styleId="Heading1">
    <w:name w:val="heading 1"/>
    <w:basedOn w:val="Normal"/>
    <w:next w:val="Normal"/>
    <w:link w:val="Heading1Char"/>
    <w:qFormat/>
    <w:rsid w:val="000502C2"/>
    <w:pPr>
      <w:keepNext/>
      <w:bidi/>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0502C2"/>
    <w:pPr>
      <w:keepNext/>
      <w:bidi/>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0502C2"/>
    <w:pPr>
      <w:keepNext/>
      <w:bidi/>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0502C2"/>
    <w:pPr>
      <w:keepNext/>
      <w:bidi/>
      <w:spacing w:before="240" w:after="60" w:line="240" w:lineRule="auto"/>
      <w:outlineLvl w:val="3"/>
    </w:pPr>
    <w:rPr>
      <w:rFonts w:ascii="Times New Roman" w:eastAsia="Times New Roman" w:hAnsi="Times New Roman" w:cs="Times New Roman"/>
      <w:b/>
      <w:bCs/>
      <w:sz w:val="28"/>
      <w:szCs w:val="28"/>
    </w:rPr>
  </w:style>
  <w:style w:type="paragraph" w:styleId="Heading8">
    <w:name w:val="heading 8"/>
    <w:basedOn w:val="Normal"/>
    <w:next w:val="Normal"/>
    <w:link w:val="Heading8Char"/>
    <w:qFormat/>
    <w:rsid w:val="000502C2"/>
    <w:pPr>
      <w:bidi/>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0502C2"/>
    <w:pPr>
      <w:bidi/>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02C2"/>
    <w:rPr>
      <w:rFonts w:ascii="Arial" w:eastAsia="Times New Roman" w:hAnsi="Arial" w:cs="Arial"/>
      <w:b/>
      <w:bCs/>
      <w:kern w:val="32"/>
      <w:sz w:val="32"/>
      <w:szCs w:val="32"/>
    </w:rPr>
  </w:style>
  <w:style w:type="character" w:customStyle="1" w:styleId="Heading2Char">
    <w:name w:val="Heading 2 Char"/>
    <w:basedOn w:val="DefaultParagraphFont"/>
    <w:link w:val="Heading2"/>
    <w:rsid w:val="000502C2"/>
    <w:rPr>
      <w:rFonts w:ascii="Arial" w:eastAsia="Times New Roman" w:hAnsi="Arial" w:cs="Arial"/>
      <w:b/>
      <w:bCs/>
      <w:i/>
      <w:iCs/>
      <w:sz w:val="28"/>
      <w:szCs w:val="28"/>
    </w:rPr>
  </w:style>
  <w:style w:type="character" w:customStyle="1" w:styleId="Heading3Char">
    <w:name w:val="Heading 3 Char"/>
    <w:basedOn w:val="DefaultParagraphFont"/>
    <w:link w:val="Heading3"/>
    <w:rsid w:val="000502C2"/>
    <w:rPr>
      <w:rFonts w:ascii="Arial" w:eastAsia="Times New Roman" w:hAnsi="Arial" w:cs="Arial"/>
      <w:b/>
      <w:bCs/>
      <w:sz w:val="26"/>
      <w:szCs w:val="26"/>
    </w:rPr>
  </w:style>
  <w:style w:type="character" w:customStyle="1" w:styleId="Heading4Char">
    <w:name w:val="Heading 4 Char"/>
    <w:basedOn w:val="DefaultParagraphFont"/>
    <w:link w:val="Heading4"/>
    <w:rsid w:val="000502C2"/>
    <w:rPr>
      <w:rFonts w:ascii="Times New Roman" w:eastAsia="Times New Roman" w:hAnsi="Times New Roman" w:cs="Times New Roman"/>
      <w:b/>
      <w:bCs/>
      <w:sz w:val="28"/>
      <w:szCs w:val="28"/>
    </w:rPr>
  </w:style>
  <w:style w:type="character" w:customStyle="1" w:styleId="Heading8Char">
    <w:name w:val="Heading 8 Char"/>
    <w:basedOn w:val="DefaultParagraphFont"/>
    <w:link w:val="Heading8"/>
    <w:rsid w:val="000502C2"/>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0502C2"/>
    <w:rPr>
      <w:rFonts w:ascii="Arial" w:eastAsia="Times New Roman" w:hAnsi="Arial" w:cs="Arial"/>
    </w:rPr>
  </w:style>
  <w:style w:type="paragraph" w:styleId="ListParagraph">
    <w:name w:val="List Paragraph"/>
    <w:basedOn w:val="Normal"/>
    <w:uiPriority w:val="34"/>
    <w:qFormat/>
    <w:rsid w:val="000502C2"/>
    <w:pPr>
      <w:bidi/>
      <w:spacing w:after="0" w:line="240" w:lineRule="auto"/>
      <w:ind w:left="720"/>
    </w:pPr>
    <w:rPr>
      <w:rFonts w:ascii="Times New Roman" w:eastAsia="Times New Roman" w:hAnsi="Times New Roman" w:cs="Times New Roman"/>
      <w:sz w:val="24"/>
      <w:szCs w:val="24"/>
    </w:rPr>
  </w:style>
  <w:style w:type="paragraph" w:customStyle="1" w:styleId="Default">
    <w:name w:val="Default"/>
    <w:rsid w:val="00BF183C"/>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BF183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83C"/>
  </w:style>
  <w:style w:type="paragraph" w:styleId="Heading1">
    <w:name w:val="heading 1"/>
    <w:basedOn w:val="Normal"/>
    <w:next w:val="Normal"/>
    <w:link w:val="Heading1Char"/>
    <w:qFormat/>
    <w:rsid w:val="000502C2"/>
    <w:pPr>
      <w:keepNext/>
      <w:bidi/>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0502C2"/>
    <w:pPr>
      <w:keepNext/>
      <w:bidi/>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0502C2"/>
    <w:pPr>
      <w:keepNext/>
      <w:bidi/>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0502C2"/>
    <w:pPr>
      <w:keepNext/>
      <w:bidi/>
      <w:spacing w:before="240" w:after="60" w:line="240" w:lineRule="auto"/>
      <w:outlineLvl w:val="3"/>
    </w:pPr>
    <w:rPr>
      <w:rFonts w:ascii="Times New Roman" w:eastAsia="Times New Roman" w:hAnsi="Times New Roman" w:cs="Times New Roman"/>
      <w:b/>
      <w:bCs/>
      <w:sz w:val="28"/>
      <w:szCs w:val="28"/>
    </w:rPr>
  </w:style>
  <w:style w:type="paragraph" w:styleId="Heading8">
    <w:name w:val="heading 8"/>
    <w:basedOn w:val="Normal"/>
    <w:next w:val="Normal"/>
    <w:link w:val="Heading8Char"/>
    <w:qFormat/>
    <w:rsid w:val="000502C2"/>
    <w:pPr>
      <w:bidi/>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0502C2"/>
    <w:pPr>
      <w:bidi/>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02C2"/>
    <w:rPr>
      <w:rFonts w:ascii="Arial" w:eastAsia="Times New Roman" w:hAnsi="Arial" w:cs="Arial"/>
      <w:b/>
      <w:bCs/>
      <w:kern w:val="32"/>
      <w:sz w:val="32"/>
      <w:szCs w:val="32"/>
    </w:rPr>
  </w:style>
  <w:style w:type="character" w:customStyle="1" w:styleId="Heading2Char">
    <w:name w:val="Heading 2 Char"/>
    <w:basedOn w:val="DefaultParagraphFont"/>
    <w:link w:val="Heading2"/>
    <w:rsid w:val="000502C2"/>
    <w:rPr>
      <w:rFonts w:ascii="Arial" w:eastAsia="Times New Roman" w:hAnsi="Arial" w:cs="Arial"/>
      <w:b/>
      <w:bCs/>
      <w:i/>
      <w:iCs/>
      <w:sz w:val="28"/>
      <w:szCs w:val="28"/>
    </w:rPr>
  </w:style>
  <w:style w:type="character" w:customStyle="1" w:styleId="Heading3Char">
    <w:name w:val="Heading 3 Char"/>
    <w:basedOn w:val="DefaultParagraphFont"/>
    <w:link w:val="Heading3"/>
    <w:rsid w:val="000502C2"/>
    <w:rPr>
      <w:rFonts w:ascii="Arial" w:eastAsia="Times New Roman" w:hAnsi="Arial" w:cs="Arial"/>
      <w:b/>
      <w:bCs/>
      <w:sz w:val="26"/>
      <w:szCs w:val="26"/>
    </w:rPr>
  </w:style>
  <w:style w:type="character" w:customStyle="1" w:styleId="Heading4Char">
    <w:name w:val="Heading 4 Char"/>
    <w:basedOn w:val="DefaultParagraphFont"/>
    <w:link w:val="Heading4"/>
    <w:rsid w:val="000502C2"/>
    <w:rPr>
      <w:rFonts w:ascii="Times New Roman" w:eastAsia="Times New Roman" w:hAnsi="Times New Roman" w:cs="Times New Roman"/>
      <w:b/>
      <w:bCs/>
      <w:sz w:val="28"/>
      <w:szCs w:val="28"/>
    </w:rPr>
  </w:style>
  <w:style w:type="character" w:customStyle="1" w:styleId="Heading8Char">
    <w:name w:val="Heading 8 Char"/>
    <w:basedOn w:val="DefaultParagraphFont"/>
    <w:link w:val="Heading8"/>
    <w:rsid w:val="000502C2"/>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0502C2"/>
    <w:rPr>
      <w:rFonts w:ascii="Arial" w:eastAsia="Times New Roman" w:hAnsi="Arial" w:cs="Arial"/>
    </w:rPr>
  </w:style>
  <w:style w:type="paragraph" w:styleId="ListParagraph">
    <w:name w:val="List Paragraph"/>
    <w:basedOn w:val="Normal"/>
    <w:uiPriority w:val="34"/>
    <w:qFormat/>
    <w:rsid w:val="000502C2"/>
    <w:pPr>
      <w:bidi/>
      <w:spacing w:after="0" w:line="240" w:lineRule="auto"/>
      <w:ind w:left="720"/>
    </w:pPr>
    <w:rPr>
      <w:rFonts w:ascii="Times New Roman" w:eastAsia="Times New Roman" w:hAnsi="Times New Roman" w:cs="Times New Roman"/>
      <w:sz w:val="24"/>
      <w:szCs w:val="24"/>
    </w:rPr>
  </w:style>
  <w:style w:type="paragraph" w:customStyle="1" w:styleId="Default">
    <w:name w:val="Default"/>
    <w:rsid w:val="00BF183C"/>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BF18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 Center</dc:creator>
  <cp:lastModifiedBy>Copy Center</cp:lastModifiedBy>
  <cp:revision>1</cp:revision>
  <dcterms:created xsi:type="dcterms:W3CDTF">2018-10-26T19:43:00Z</dcterms:created>
  <dcterms:modified xsi:type="dcterms:W3CDTF">2018-10-26T19:45:00Z</dcterms:modified>
</cp:coreProperties>
</file>