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28078" w14:textId="77777777" w:rsidR="004B2580" w:rsidRDefault="004B2580" w:rsidP="004B2580">
      <w:pPr>
        <w:spacing w:line="240" w:lineRule="auto"/>
        <w:jc w:val="center"/>
        <w:rPr>
          <w:lang w:val="en-US"/>
        </w:rPr>
      </w:pPr>
    </w:p>
    <w:p w14:paraId="0CD742C7" w14:textId="77777777" w:rsidR="004B2580" w:rsidRDefault="004B2580" w:rsidP="004B2580">
      <w:pPr>
        <w:spacing w:line="240" w:lineRule="auto"/>
        <w:jc w:val="center"/>
        <w:rPr>
          <w:rFonts w:ascii="Times New Roman" w:hAnsi="Times New Roman" w:cs="Times New Roman"/>
          <w:b/>
          <w:bCs/>
          <w:sz w:val="24"/>
          <w:szCs w:val="24"/>
          <w:lang w:val="en-US"/>
        </w:rPr>
      </w:pPr>
      <w:r w:rsidRPr="00816C89">
        <w:rPr>
          <w:rFonts w:ascii="Times New Roman" w:hAnsi="Times New Roman" w:cs="Times New Roman"/>
          <w:b/>
          <w:bCs/>
          <w:sz w:val="24"/>
          <w:szCs w:val="24"/>
          <w:lang w:val="en-US"/>
        </w:rPr>
        <w:t>Go</w:t>
      </w:r>
      <w:r>
        <w:rPr>
          <w:rFonts w:ascii="Times New Roman" w:hAnsi="Times New Roman" w:cs="Times New Roman"/>
          <w:b/>
          <w:bCs/>
          <w:sz w:val="24"/>
          <w:szCs w:val="24"/>
          <w:lang w:val="en-US"/>
        </w:rPr>
        <w:t xml:space="preserve"> </w:t>
      </w:r>
      <w:r w:rsidRPr="00816C89">
        <w:rPr>
          <w:rFonts w:ascii="Times New Roman" w:hAnsi="Times New Roman" w:cs="Times New Roman"/>
          <w:b/>
          <w:bCs/>
          <w:sz w:val="24"/>
          <w:szCs w:val="24"/>
          <w:lang w:val="en-US"/>
        </w:rPr>
        <w:t>WES</w:t>
      </w:r>
      <w:r>
        <w:rPr>
          <w:rFonts w:ascii="Times New Roman" w:hAnsi="Times New Roman" w:cs="Times New Roman"/>
          <w:b/>
          <w:bCs/>
          <w:sz w:val="24"/>
          <w:szCs w:val="24"/>
          <w:lang w:val="en-US"/>
        </w:rPr>
        <w:t>, young man</w:t>
      </w:r>
      <w:r w:rsidRPr="00816C89">
        <w:rPr>
          <w:rFonts w:ascii="Times New Roman" w:hAnsi="Times New Roman" w:cs="Times New Roman"/>
          <w:b/>
          <w:bCs/>
          <w:sz w:val="24"/>
          <w:szCs w:val="24"/>
          <w:lang w:val="en-US"/>
        </w:rPr>
        <w:t>:</w:t>
      </w:r>
    </w:p>
    <w:p w14:paraId="39299533" w14:textId="77777777" w:rsidR="004B2580" w:rsidRDefault="004B2580" w:rsidP="004B2580">
      <w:pPr>
        <w:spacing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D</w:t>
      </w:r>
      <w:r w:rsidRPr="00816C89">
        <w:rPr>
          <w:rFonts w:ascii="Times New Roman" w:hAnsi="Times New Roman" w:cs="Times New Roman"/>
          <w:b/>
          <w:bCs/>
          <w:sz w:val="24"/>
          <w:szCs w:val="24"/>
          <w:lang w:val="en-US"/>
        </w:rPr>
        <w:t xml:space="preserve">iagnostic yield of </w:t>
      </w:r>
      <w:r>
        <w:rPr>
          <w:rFonts w:ascii="Times New Roman" w:hAnsi="Times New Roman" w:cs="Times New Roman"/>
          <w:b/>
          <w:bCs/>
          <w:sz w:val="24"/>
          <w:szCs w:val="24"/>
          <w:lang w:val="en-US"/>
        </w:rPr>
        <w:t>W</w:t>
      </w:r>
      <w:r w:rsidRPr="00816C89">
        <w:rPr>
          <w:rFonts w:ascii="Times New Roman" w:hAnsi="Times New Roman" w:cs="Times New Roman"/>
          <w:b/>
          <w:bCs/>
          <w:sz w:val="24"/>
          <w:szCs w:val="24"/>
          <w:lang w:val="en-US"/>
        </w:rPr>
        <w:t xml:space="preserve">hole-exome sequencing </w:t>
      </w:r>
      <w:r>
        <w:rPr>
          <w:rFonts w:ascii="Times New Roman" w:hAnsi="Times New Roman" w:cs="Times New Roman"/>
          <w:b/>
          <w:bCs/>
          <w:sz w:val="24"/>
          <w:szCs w:val="24"/>
          <w:lang w:val="en-US"/>
        </w:rPr>
        <w:t xml:space="preserve">analysis </w:t>
      </w:r>
      <w:r w:rsidRPr="00816C89">
        <w:rPr>
          <w:rFonts w:ascii="Times New Roman" w:hAnsi="Times New Roman" w:cs="Times New Roman"/>
          <w:b/>
          <w:bCs/>
          <w:sz w:val="24"/>
          <w:szCs w:val="24"/>
          <w:lang w:val="en-US"/>
        </w:rPr>
        <w:t>in</w:t>
      </w:r>
      <w:r>
        <w:rPr>
          <w:rFonts w:ascii="Times New Roman" w:hAnsi="Times New Roman" w:cs="Times New Roman"/>
          <w:b/>
          <w:bCs/>
          <w:sz w:val="24"/>
          <w:szCs w:val="24"/>
          <w:lang w:val="en-US"/>
        </w:rPr>
        <w:t xml:space="preserve"> </w:t>
      </w:r>
    </w:p>
    <w:p w14:paraId="0B4D9541" w14:textId="6E4A4786" w:rsidR="004B2580" w:rsidRPr="00D56A40" w:rsidRDefault="004B2580" w:rsidP="004B2580">
      <w:pPr>
        <w:spacing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1</w:t>
      </w:r>
      <w:r w:rsidR="00D02296">
        <w:rPr>
          <w:rFonts w:ascii="Times New Roman" w:hAnsi="Times New Roman" w:cs="Times New Roman"/>
          <w:b/>
          <w:bCs/>
          <w:sz w:val="24"/>
          <w:szCs w:val="24"/>
          <w:lang w:val="en-US"/>
        </w:rPr>
        <w:t>24</w:t>
      </w:r>
      <w:r>
        <w:rPr>
          <w:rFonts w:ascii="Times New Roman" w:hAnsi="Times New Roman" w:cs="Times New Roman"/>
          <w:b/>
          <w:bCs/>
          <w:sz w:val="24"/>
          <w:szCs w:val="24"/>
          <w:lang w:val="en-US"/>
        </w:rPr>
        <w:t xml:space="preserve"> </w:t>
      </w:r>
      <w:r w:rsidRPr="00D56A40">
        <w:rPr>
          <w:rFonts w:ascii="Times New Roman" w:hAnsi="Times New Roman" w:cs="Times New Roman"/>
          <w:b/>
          <w:bCs/>
          <w:sz w:val="24"/>
          <w:szCs w:val="24"/>
          <w:lang w:val="en-US"/>
        </w:rPr>
        <w:t>patients with suspected Inborn errors of immunity</w:t>
      </w:r>
    </w:p>
    <w:p w14:paraId="3A639C48" w14:textId="77777777" w:rsidR="004B2580" w:rsidRPr="00AC7D2F" w:rsidRDefault="004B2580" w:rsidP="004B2580">
      <w:pPr>
        <w:pStyle w:val="ListParagraph"/>
        <w:spacing w:line="240" w:lineRule="auto"/>
        <w:rPr>
          <w:rFonts w:ascii="Arial" w:hAnsi="Arial" w:cs="Arial"/>
          <w:b/>
          <w:bCs/>
          <w:lang w:val="en-US"/>
        </w:rPr>
      </w:pPr>
    </w:p>
    <w:p w14:paraId="1A6F3C71" w14:textId="77777777" w:rsidR="004B2580" w:rsidRPr="00D21118" w:rsidRDefault="004B2580" w:rsidP="004B25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Saul O </w:t>
      </w:r>
      <w:r w:rsidRPr="00D21118">
        <w:rPr>
          <w:rFonts w:ascii="Times New Roman" w:hAnsi="Times New Roman" w:cs="Times New Roman"/>
          <w:sz w:val="24"/>
          <w:szCs w:val="24"/>
        </w:rPr>
        <w:t>Lugo Reyes</w:t>
      </w:r>
      <w:r w:rsidRPr="00FF7A60">
        <w:rPr>
          <w:rFonts w:ascii="Times New Roman" w:hAnsi="Times New Roman" w:cs="Times New Roman"/>
          <w:sz w:val="24"/>
          <w:szCs w:val="24"/>
          <w:vertAlign w:val="superscript"/>
        </w:rPr>
        <w:t>1</w:t>
      </w:r>
      <w:r>
        <w:rPr>
          <w:rFonts w:ascii="Times New Roman" w:hAnsi="Times New Roman" w:cs="Times New Roman"/>
          <w:sz w:val="24"/>
          <w:szCs w:val="24"/>
        </w:rPr>
        <w:t>,</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Lina M </w:t>
      </w:r>
      <w:r w:rsidRPr="00D21118">
        <w:rPr>
          <w:rFonts w:ascii="Times New Roman" w:hAnsi="Times New Roman" w:cs="Times New Roman"/>
          <w:sz w:val="24"/>
          <w:szCs w:val="24"/>
        </w:rPr>
        <w:t>Castaño-Jaramillo</w:t>
      </w:r>
      <w:r w:rsidRPr="00FF7A60">
        <w:rPr>
          <w:rFonts w:ascii="Times New Roman" w:hAnsi="Times New Roman" w:cs="Times New Roman"/>
          <w:sz w:val="24"/>
          <w:szCs w:val="24"/>
          <w:vertAlign w:val="superscript"/>
        </w:rPr>
        <w:t>2</w:t>
      </w:r>
      <w:r>
        <w:rPr>
          <w:rFonts w:ascii="Times New Roman" w:hAnsi="Times New Roman" w:cs="Times New Roman"/>
          <w:sz w:val="24"/>
          <w:szCs w:val="24"/>
        </w:rPr>
        <w:t>,</w:t>
      </w:r>
      <w:r w:rsidRPr="00D21118">
        <w:rPr>
          <w:rFonts w:ascii="Times New Roman" w:hAnsi="Times New Roman" w:cs="Times New Roman"/>
          <w:sz w:val="24"/>
          <w:szCs w:val="24"/>
        </w:rPr>
        <w:t xml:space="preserve"> </w:t>
      </w:r>
      <w:r>
        <w:rPr>
          <w:rFonts w:ascii="Times New Roman" w:hAnsi="Times New Roman" w:cs="Times New Roman"/>
          <w:sz w:val="24"/>
          <w:szCs w:val="24"/>
        </w:rPr>
        <w:t>Edgar Alejandro Medina-Torres</w:t>
      </w:r>
      <w:r w:rsidRPr="00FF7A60">
        <w:rPr>
          <w:rFonts w:ascii="Times New Roman" w:hAnsi="Times New Roman" w:cs="Times New Roman"/>
          <w:sz w:val="24"/>
          <w:szCs w:val="24"/>
          <w:vertAlign w:val="superscript"/>
        </w:rPr>
        <w:t>1</w:t>
      </w:r>
      <w:r>
        <w:rPr>
          <w:rFonts w:ascii="Times New Roman" w:hAnsi="Times New Roman" w:cs="Times New Roman"/>
          <w:sz w:val="24"/>
          <w:szCs w:val="24"/>
        </w:rPr>
        <w:t>, Marco Antonio Yamazaki-Nakashimada</w:t>
      </w:r>
      <w:r w:rsidRPr="005E1AE2">
        <w:rPr>
          <w:rFonts w:ascii="Times New Roman" w:hAnsi="Times New Roman" w:cs="Times New Roman"/>
          <w:sz w:val="24"/>
          <w:szCs w:val="24"/>
          <w:vertAlign w:val="superscript"/>
        </w:rPr>
        <w:t>2</w:t>
      </w:r>
      <w:r>
        <w:rPr>
          <w:rFonts w:ascii="Times New Roman" w:hAnsi="Times New Roman" w:cs="Times New Roman"/>
          <w:sz w:val="24"/>
          <w:szCs w:val="24"/>
        </w:rPr>
        <w:t xml:space="preserve">, Edna </w:t>
      </w:r>
      <w:r w:rsidRPr="00D21118">
        <w:rPr>
          <w:rFonts w:ascii="Times New Roman" w:hAnsi="Times New Roman" w:cs="Times New Roman"/>
          <w:sz w:val="24"/>
          <w:szCs w:val="24"/>
        </w:rPr>
        <w:t>Venegas Montoya</w:t>
      </w:r>
      <w:r w:rsidRPr="001A26B5">
        <w:rPr>
          <w:rFonts w:ascii="Times New Roman" w:hAnsi="Times New Roman" w:cs="Times New Roman"/>
          <w:sz w:val="24"/>
          <w:szCs w:val="24"/>
          <w:vertAlign w:val="superscript"/>
        </w:rPr>
        <w:t>3</w:t>
      </w:r>
      <w:r w:rsidRPr="0011060E">
        <w:rPr>
          <w:rFonts w:ascii="Times New Roman" w:hAnsi="Times New Roman" w:cs="Times New Roman"/>
          <w:sz w:val="24"/>
          <w:szCs w:val="24"/>
        </w:rPr>
        <w:t>,</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Luis Moisés </w:t>
      </w:r>
      <w:r w:rsidRPr="00D21118">
        <w:rPr>
          <w:rFonts w:ascii="Times New Roman" w:hAnsi="Times New Roman" w:cs="Times New Roman"/>
          <w:sz w:val="24"/>
          <w:szCs w:val="24"/>
        </w:rPr>
        <w:t>Silva Goytia</w:t>
      </w:r>
      <w:r w:rsidRPr="005E1AE2">
        <w:rPr>
          <w:rFonts w:ascii="Times New Roman" w:hAnsi="Times New Roman" w:cs="Times New Roman"/>
          <w:sz w:val="24"/>
          <w:szCs w:val="24"/>
          <w:vertAlign w:val="superscript"/>
        </w:rPr>
        <w:t>1</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Elisa </w:t>
      </w:r>
      <w:r w:rsidRPr="00D21118">
        <w:rPr>
          <w:rFonts w:ascii="Times New Roman" w:hAnsi="Times New Roman" w:cs="Times New Roman"/>
          <w:sz w:val="24"/>
          <w:szCs w:val="24"/>
        </w:rPr>
        <w:t>Hierro Cascajares</w:t>
      </w:r>
      <w:r w:rsidRPr="005E1AE2">
        <w:rPr>
          <w:rFonts w:ascii="Times New Roman" w:hAnsi="Times New Roman" w:cs="Times New Roman"/>
          <w:sz w:val="24"/>
          <w:szCs w:val="24"/>
          <w:vertAlign w:val="superscript"/>
        </w:rPr>
        <w:t>1</w:t>
      </w:r>
      <w:r w:rsidRPr="00D21118">
        <w:rPr>
          <w:rFonts w:ascii="Times New Roman" w:hAnsi="Times New Roman" w:cs="Times New Roman"/>
          <w:sz w:val="24"/>
          <w:szCs w:val="24"/>
        </w:rPr>
        <w:t>,</w:t>
      </w:r>
      <w:r>
        <w:rPr>
          <w:rFonts w:ascii="Times New Roman" w:hAnsi="Times New Roman" w:cs="Times New Roman"/>
          <w:sz w:val="24"/>
          <w:szCs w:val="24"/>
        </w:rPr>
        <w:t xml:space="preserve"> Selma C </w:t>
      </w:r>
      <w:r w:rsidRPr="00D21118">
        <w:rPr>
          <w:rFonts w:ascii="Times New Roman" w:hAnsi="Times New Roman" w:cs="Times New Roman"/>
          <w:sz w:val="24"/>
          <w:szCs w:val="24"/>
        </w:rPr>
        <w:t>Scheffler Mendoza</w:t>
      </w:r>
      <w:r w:rsidRPr="005E1AE2">
        <w:rPr>
          <w:rFonts w:ascii="Times New Roman" w:hAnsi="Times New Roman" w:cs="Times New Roman"/>
          <w:sz w:val="24"/>
          <w:szCs w:val="24"/>
          <w:vertAlign w:val="superscript"/>
        </w:rPr>
        <w:t>2</w:t>
      </w:r>
      <w:r>
        <w:rPr>
          <w:rFonts w:ascii="Times New Roman" w:hAnsi="Times New Roman" w:cs="Times New Roman"/>
          <w:sz w:val="24"/>
          <w:szCs w:val="24"/>
        </w:rPr>
        <w:t>,</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Eunice </w:t>
      </w:r>
      <w:r w:rsidRPr="00D21118">
        <w:rPr>
          <w:rFonts w:ascii="Times New Roman" w:hAnsi="Times New Roman" w:cs="Times New Roman"/>
          <w:sz w:val="24"/>
          <w:szCs w:val="24"/>
        </w:rPr>
        <w:t>Fregoso Zúñiga</w:t>
      </w:r>
      <w:r w:rsidRPr="00617A10">
        <w:rPr>
          <w:rFonts w:ascii="Times New Roman" w:hAnsi="Times New Roman" w:cs="Times New Roman"/>
          <w:sz w:val="24"/>
          <w:szCs w:val="24"/>
          <w:vertAlign w:val="superscript"/>
        </w:rPr>
        <w:t>1,</w:t>
      </w:r>
      <w:r>
        <w:rPr>
          <w:rFonts w:ascii="Times New Roman" w:hAnsi="Times New Roman" w:cs="Times New Roman"/>
          <w:sz w:val="24"/>
          <w:szCs w:val="24"/>
          <w:vertAlign w:val="superscript"/>
        </w:rPr>
        <w:t>4</w:t>
      </w:r>
      <w:r w:rsidRPr="00D21118">
        <w:rPr>
          <w:rFonts w:ascii="Times New Roman" w:hAnsi="Times New Roman" w:cs="Times New Roman"/>
          <w:sz w:val="24"/>
          <w:szCs w:val="24"/>
        </w:rPr>
        <w:t xml:space="preserve">, </w:t>
      </w:r>
      <w:r>
        <w:rPr>
          <w:rFonts w:ascii="Times New Roman" w:hAnsi="Times New Roman" w:cs="Times New Roman"/>
          <w:sz w:val="24"/>
          <w:szCs w:val="24"/>
        </w:rPr>
        <w:t>Francisco</w:t>
      </w:r>
      <w:r w:rsidRPr="00D21118">
        <w:rPr>
          <w:rFonts w:ascii="Times New Roman" w:hAnsi="Times New Roman" w:cs="Times New Roman"/>
          <w:sz w:val="24"/>
          <w:szCs w:val="24"/>
        </w:rPr>
        <w:t xml:space="preserve"> Rivas Larrauri</w:t>
      </w:r>
      <w:r w:rsidRPr="0052762B">
        <w:rPr>
          <w:rFonts w:ascii="Times New Roman" w:hAnsi="Times New Roman" w:cs="Times New Roman"/>
          <w:sz w:val="24"/>
          <w:szCs w:val="24"/>
          <w:vertAlign w:val="superscript"/>
        </w:rPr>
        <w:t>2</w:t>
      </w:r>
      <w:r w:rsidRPr="00D21118">
        <w:rPr>
          <w:rFonts w:ascii="Times New Roman" w:hAnsi="Times New Roman" w:cs="Times New Roman"/>
          <w:sz w:val="24"/>
          <w:szCs w:val="24"/>
        </w:rPr>
        <w:t xml:space="preserve">, </w:t>
      </w:r>
      <w:r>
        <w:rPr>
          <w:rFonts w:ascii="Times New Roman" w:hAnsi="Times New Roman" w:cs="Times New Roman"/>
          <w:sz w:val="24"/>
          <w:szCs w:val="24"/>
        </w:rPr>
        <w:t>Andrea Solórzano Suárez</w:t>
      </w:r>
      <w:r w:rsidRPr="0052762B">
        <w:rPr>
          <w:rFonts w:ascii="Times New Roman" w:hAnsi="Times New Roman" w:cs="Times New Roman"/>
          <w:sz w:val="24"/>
          <w:szCs w:val="24"/>
          <w:vertAlign w:val="superscript"/>
        </w:rPr>
        <w:t>1</w:t>
      </w:r>
      <w:r>
        <w:rPr>
          <w:rFonts w:ascii="Times New Roman" w:hAnsi="Times New Roman" w:cs="Times New Roman"/>
          <w:sz w:val="24"/>
          <w:szCs w:val="24"/>
        </w:rPr>
        <w:t xml:space="preserve">, Alonso </w:t>
      </w:r>
      <w:r w:rsidRPr="00D21118">
        <w:rPr>
          <w:rFonts w:ascii="Times New Roman" w:hAnsi="Times New Roman" w:cs="Times New Roman"/>
          <w:sz w:val="24"/>
          <w:szCs w:val="24"/>
        </w:rPr>
        <w:t>Gutiérrez-Hernández</w:t>
      </w:r>
      <w:r w:rsidRPr="0052762B">
        <w:rPr>
          <w:rFonts w:ascii="Times New Roman" w:hAnsi="Times New Roman" w:cs="Times New Roman"/>
          <w:sz w:val="24"/>
          <w:szCs w:val="24"/>
          <w:vertAlign w:val="superscript"/>
        </w:rPr>
        <w:t>2</w:t>
      </w:r>
      <w:r>
        <w:rPr>
          <w:rFonts w:ascii="Times New Roman" w:hAnsi="Times New Roman" w:cs="Times New Roman"/>
          <w:sz w:val="24"/>
          <w:szCs w:val="24"/>
        </w:rPr>
        <w:t xml:space="preserve">, Nideshda </w:t>
      </w:r>
      <w:r w:rsidRPr="00D21118">
        <w:rPr>
          <w:rFonts w:ascii="Times New Roman" w:hAnsi="Times New Roman" w:cs="Times New Roman"/>
          <w:sz w:val="24"/>
          <w:szCs w:val="24"/>
        </w:rPr>
        <w:t>Ramírez Uribe</w:t>
      </w:r>
      <w:r>
        <w:rPr>
          <w:rFonts w:ascii="Times New Roman" w:hAnsi="Times New Roman" w:cs="Times New Roman"/>
          <w:sz w:val="24"/>
          <w:szCs w:val="24"/>
          <w:vertAlign w:val="superscript"/>
        </w:rPr>
        <w:t>5</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María del Mar Sáez de Ocariz </w:t>
      </w:r>
      <w:r w:rsidRPr="00D21118">
        <w:rPr>
          <w:rFonts w:ascii="Times New Roman" w:hAnsi="Times New Roman" w:cs="Times New Roman"/>
          <w:sz w:val="24"/>
          <w:szCs w:val="24"/>
        </w:rPr>
        <w:t>Gutiérrez</w:t>
      </w:r>
      <w:r w:rsidRPr="00885592">
        <w:rPr>
          <w:rFonts w:ascii="Times New Roman" w:hAnsi="Times New Roman" w:cs="Times New Roman"/>
          <w:sz w:val="24"/>
          <w:szCs w:val="24"/>
          <w:vertAlign w:val="superscript"/>
        </w:rPr>
        <w:t>7</w:t>
      </w:r>
      <w:r w:rsidRPr="00883E73">
        <w:rPr>
          <w:rFonts w:ascii="Times New Roman" w:hAnsi="Times New Roman" w:cs="Times New Roman"/>
          <w:sz w:val="24"/>
          <w:szCs w:val="24"/>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Juan Carlos </w:t>
      </w:r>
      <w:r w:rsidRPr="00D21118">
        <w:rPr>
          <w:rFonts w:ascii="Times New Roman" w:hAnsi="Times New Roman" w:cs="Times New Roman"/>
          <w:sz w:val="24"/>
          <w:szCs w:val="24"/>
        </w:rPr>
        <w:t>Bustamante-Ogando</w:t>
      </w:r>
      <w:r w:rsidRPr="000D1191">
        <w:rPr>
          <w:rFonts w:ascii="Times New Roman" w:hAnsi="Times New Roman" w:cs="Times New Roman"/>
          <w:sz w:val="24"/>
          <w:szCs w:val="24"/>
          <w:vertAlign w:val="superscript"/>
        </w:rPr>
        <w:t>2</w:t>
      </w:r>
      <w:r>
        <w:rPr>
          <w:rFonts w:ascii="Times New Roman" w:hAnsi="Times New Roman" w:cs="Times New Roman"/>
          <w:sz w:val="24"/>
          <w:szCs w:val="24"/>
        </w:rPr>
        <w:t xml:space="preserve">, M Edith </w:t>
      </w:r>
      <w:r w:rsidRPr="00D21118">
        <w:rPr>
          <w:rFonts w:ascii="Times New Roman" w:hAnsi="Times New Roman" w:cs="Times New Roman"/>
          <w:sz w:val="24"/>
          <w:szCs w:val="24"/>
        </w:rPr>
        <w:t>González-Serrano</w:t>
      </w:r>
      <w:r w:rsidRPr="000D1191">
        <w:rPr>
          <w:rFonts w:ascii="Times New Roman" w:hAnsi="Times New Roman" w:cs="Times New Roman"/>
          <w:sz w:val="24"/>
          <w:szCs w:val="24"/>
          <w:vertAlign w:val="superscript"/>
        </w:rPr>
        <w:t>1</w:t>
      </w:r>
      <w:r>
        <w:rPr>
          <w:rFonts w:ascii="Times New Roman" w:hAnsi="Times New Roman" w:cs="Times New Roman"/>
          <w:sz w:val="24"/>
          <w:szCs w:val="24"/>
        </w:rPr>
        <w:t>,</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Laura </w:t>
      </w:r>
      <w:r w:rsidRPr="00D21118">
        <w:rPr>
          <w:rFonts w:ascii="Times New Roman" w:hAnsi="Times New Roman" w:cs="Times New Roman"/>
          <w:sz w:val="24"/>
          <w:szCs w:val="24"/>
        </w:rPr>
        <w:t>Berrón Ruiz</w:t>
      </w:r>
      <w:r w:rsidRPr="000D1191">
        <w:rPr>
          <w:rFonts w:ascii="Times New Roman" w:hAnsi="Times New Roman" w:cs="Times New Roman"/>
          <w:sz w:val="24"/>
          <w:szCs w:val="24"/>
          <w:vertAlign w:val="superscript"/>
        </w:rPr>
        <w:t>1</w:t>
      </w:r>
      <w:r>
        <w:rPr>
          <w:rFonts w:ascii="Times New Roman" w:hAnsi="Times New Roman" w:cs="Times New Roman"/>
          <w:sz w:val="24"/>
          <w:szCs w:val="24"/>
        </w:rPr>
        <w:t>, Lizbeth</w:t>
      </w:r>
      <w:r w:rsidRPr="00D21118">
        <w:rPr>
          <w:rFonts w:ascii="Times New Roman" w:hAnsi="Times New Roman" w:cs="Times New Roman"/>
          <w:sz w:val="24"/>
          <w:szCs w:val="24"/>
        </w:rPr>
        <w:t xml:space="preserve"> Blancas Galicia</w:t>
      </w:r>
      <w:r w:rsidRPr="000D1191">
        <w:rPr>
          <w:rFonts w:ascii="Times New Roman" w:hAnsi="Times New Roman" w:cs="Times New Roman"/>
          <w:sz w:val="24"/>
          <w:szCs w:val="24"/>
          <w:vertAlign w:val="superscript"/>
        </w:rPr>
        <w:t>1</w:t>
      </w:r>
      <w:r>
        <w:rPr>
          <w:rFonts w:ascii="Times New Roman" w:hAnsi="Times New Roman" w:cs="Times New Roman"/>
          <w:sz w:val="24"/>
          <w:szCs w:val="24"/>
        </w:rPr>
        <w:t>,</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Estefanía </w:t>
      </w:r>
      <w:r w:rsidRPr="00D21118">
        <w:rPr>
          <w:rFonts w:ascii="Times New Roman" w:hAnsi="Times New Roman" w:cs="Times New Roman"/>
          <w:sz w:val="24"/>
          <w:szCs w:val="24"/>
        </w:rPr>
        <w:t>Vásquez Echeverri</w:t>
      </w:r>
      <w:r w:rsidRPr="000D1191">
        <w:rPr>
          <w:rFonts w:ascii="Times New Roman" w:hAnsi="Times New Roman" w:cs="Times New Roman"/>
          <w:sz w:val="24"/>
          <w:szCs w:val="24"/>
          <w:vertAlign w:val="superscript"/>
        </w:rPr>
        <w:t>1</w:t>
      </w:r>
      <w:r w:rsidRPr="00D21118">
        <w:rPr>
          <w:rFonts w:ascii="Times New Roman" w:hAnsi="Times New Roman" w:cs="Times New Roman"/>
          <w:sz w:val="24"/>
          <w:szCs w:val="24"/>
        </w:rPr>
        <w:t xml:space="preserve">, </w:t>
      </w:r>
      <w:r>
        <w:rPr>
          <w:rFonts w:ascii="Times New Roman" w:hAnsi="Times New Roman" w:cs="Times New Roman"/>
          <w:sz w:val="24"/>
          <w:szCs w:val="24"/>
        </w:rPr>
        <w:t>Héctor</w:t>
      </w:r>
      <w:r w:rsidRPr="00D21118">
        <w:rPr>
          <w:rFonts w:ascii="Times New Roman" w:hAnsi="Times New Roman" w:cs="Times New Roman"/>
          <w:sz w:val="24"/>
          <w:szCs w:val="24"/>
        </w:rPr>
        <w:t xml:space="preserve"> Gómez Tello</w:t>
      </w:r>
      <w:r w:rsidRPr="00554642">
        <w:rPr>
          <w:rFonts w:ascii="Times New Roman" w:hAnsi="Times New Roman" w:cs="Times New Roman"/>
          <w:sz w:val="24"/>
          <w:szCs w:val="24"/>
          <w:vertAlign w:val="superscript"/>
        </w:rPr>
        <w:t>6</w:t>
      </w:r>
      <w:r>
        <w:rPr>
          <w:rFonts w:ascii="Times New Roman" w:hAnsi="Times New Roman" w:cs="Times New Roman"/>
          <w:sz w:val="24"/>
          <w:szCs w:val="24"/>
        </w:rPr>
        <w:t xml:space="preserve">, David </w:t>
      </w:r>
      <w:r w:rsidRPr="00D21118">
        <w:rPr>
          <w:rFonts w:ascii="Times New Roman" w:hAnsi="Times New Roman" w:cs="Times New Roman"/>
          <w:sz w:val="24"/>
          <w:szCs w:val="24"/>
        </w:rPr>
        <w:t>Muzquiz Zermeño</w:t>
      </w:r>
      <w:r w:rsidRPr="00554642">
        <w:rPr>
          <w:rFonts w:ascii="Times New Roman" w:hAnsi="Times New Roman" w:cs="Times New Roman"/>
          <w:sz w:val="24"/>
          <w:szCs w:val="24"/>
          <w:vertAlign w:val="superscript"/>
        </w:rPr>
        <w:t>3</w:t>
      </w:r>
      <w:r>
        <w:rPr>
          <w:rFonts w:ascii="Times New Roman" w:hAnsi="Times New Roman" w:cs="Times New Roman"/>
          <w:sz w:val="24"/>
          <w:szCs w:val="24"/>
        </w:rPr>
        <w:t>, ,</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Melissa </w:t>
      </w:r>
      <w:r w:rsidRPr="00D21118">
        <w:rPr>
          <w:rFonts w:ascii="Times New Roman" w:hAnsi="Times New Roman" w:cs="Times New Roman"/>
          <w:sz w:val="24"/>
          <w:szCs w:val="24"/>
        </w:rPr>
        <w:t>Espinosa Navarro</w:t>
      </w:r>
      <w:r>
        <w:rPr>
          <w:rFonts w:ascii="Times New Roman" w:hAnsi="Times New Roman" w:cs="Times New Roman"/>
          <w:sz w:val="24"/>
          <w:szCs w:val="24"/>
          <w:vertAlign w:val="superscript"/>
        </w:rPr>
        <w:t>8</w:t>
      </w:r>
      <w:r>
        <w:rPr>
          <w:rFonts w:ascii="Times New Roman" w:hAnsi="Times New Roman" w:cs="Times New Roman"/>
          <w:sz w:val="24"/>
          <w:szCs w:val="24"/>
        </w:rPr>
        <w:t>,</w:t>
      </w:r>
      <w:r w:rsidRPr="00D21118">
        <w:rPr>
          <w:rFonts w:ascii="Times New Roman" w:hAnsi="Times New Roman" w:cs="Times New Roman"/>
          <w:sz w:val="24"/>
          <w:szCs w:val="24"/>
        </w:rPr>
        <w:t xml:space="preserve"> </w:t>
      </w:r>
      <w:r>
        <w:rPr>
          <w:rFonts w:ascii="Times New Roman" w:hAnsi="Times New Roman" w:cs="Times New Roman"/>
          <w:sz w:val="24"/>
          <w:szCs w:val="24"/>
        </w:rPr>
        <w:t>Leticia</w:t>
      </w:r>
      <w:r w:rsidRPr="00D21118">
        <w:rPr>
          <w:rFonts w:ascii="Times New Roman" w:hAnsi="Times New Roman" w:cs="Times New Roman"/>
          <w:sz w:val="24"/>
          <w:szCs w:val="24"/>
        </w:rPr>
        <w:t xml:space="preserve"> Hernández Nieto</w:t>
      </w:r>
      <w:r w:rsidRPr="009468E0">
        <w:rPr>
          <w:rFonts w:ascii="Times New Roman" w:hAnsi="Times New Roman" w:cs="Times New Roman"/>
          <w:sz w:val="24"/>
          <w:szCs w:val="24"/>
          <w:vertAlign w:val="superscript"/>
        </w:rPr>
        <w:t>9</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Alejandro L Villanueva Arredondo, Rosa María </w:t>
      </w:r>
      <w:r w:rsidRPr="00D21118">
        <w:rPr>
          <w:rFonts w:ascii="Times New Roman" w:hAnsi="Times New Roman" w:cs="Times New Roman"/>
          <w:sz w:val="24"/>
          <w:szCs w:val="24"/>
        </w:rPr>
        <w:t>Cortés Grimaldo</w:t>
      </w:r>
      <w:r w:rsidRPr="006D2F2C">
        <w:rPr>
          <w:rFonts w:ascii="Times New Roman" w:hAnsi="Times New Roman" w:cs="Times New Roman"/>
          <w:sz w:val="24"/>
          <w:szCs w:val="24"/>
          <w:vertAlign w:val="superscript"/>
        </w:rPr>
        <w:t>10</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Ana Paola </w:t>
      </w:r>
      <w:r w:rsidRPr="00D21118">
        <w:rPr>
          <w:rFonts w:ascii="Times New Roman" w:hAnsi="Times New Roman" w:cs="Times New Roman"/>
          <w:sz w:val="24"/>
          <w:szCs w:val="24"/>
        </w:rPr>
        <w:t>Macías Robles</w:t>
      </w:r>
      <w:r w:rsidRPr="008F5617">
        <w:rPr>
          <w:rFonts w:ascii="Times New Roman" w:hAnsi="Times New Roman" w:cs="Times New Roman"/>
          <w:sz w:val="24"/>
          <w:szCs w:val="24"/>
          <w:vertAlign w:val="superscript"/>
        </w:rPr>
        <w:t>11</w:t>
      </w:r>
      <w:r>
        <w:rPr>
          <w:rFonts w:ascii="Times New Roman" w:hAnsi="Times New Roman" w:cs="Times New Roman"/>
          <w:sz w:val="24"/>
          <w:szCs w:val="24"/>
        </w:rPr>
        <w:t xml:space="preserve">, Diana G </w:t>
      </w:r>
      <w:r w:rsidRPr="00D21118">
        <w:rPr>
          <w:rFonts w:ascii="Times New Roman" w:hAnsi="Times New Roman" w:cs="Times New Roman"/>
          <w:sz w:val="24"/>
          <w:szCs w:val="24"/>
        </w:rPr>
        <w:t>Ramírez Vásquez</w:t>
      </w:r>
      <w:r w:rsidRPr="008F5617">
        <w:rPr>
          <w:rFonts w:ascii="Times New Roman" w:hAnsi="Times New Roman" w:cs="Times New Roman"/>
          <w:sz w:val="24"/>
          <w:szCs w:val="24"/>
          <w:vertAlign w:val="superscript"/>
        </w:rPr>
        <w:t>12</w:t>
      </w:r>
      <w:r>
        <w:rPr>
          <w:rFonts w:ascii="Times New Roman" w:hAnsi="Times New Roman" w:cs="Times New Roman"/>
          <w:sz w:val="24"/>
          <w:szCs w:val="24"/>
        </w:rPr>
        <w:t>,</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Kannelva M </w:t>
      </w:r>
      <w:r w:rsidRPr="00D21118">
        <w:rPr>
          <w:rFonts w:ascii="Times New Roman" w:hAnsi="Times New Roman" w:cs="Times New Roman"/>
          <w:sz w:val="24"/>
          <w:szCs w:val="24"/>
        </w:rPr>
        <w:t>Gómez Castillo</w:t>
      </w:r>
      <w:r w:rsidRPr="008F5617">
        <w:rPr>
          <w:rFonts w:ascii="Times New Roman" w:hAnsi="Times New Roman" w:cs="Times New Roman"/>
          <w:sz w:val="24"/>
          <w:szCs w:val="24"/>
          <w:vertAlign w:val="superscript"/>
        </w:rPr>
        <w:t>13</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Sandra </w:t>
      </w:r>
      <w:r w:rsidRPr="00D21118">
        <w:rPr>
          <w:rFonts w:ascii="Times New Roman" w:hAnsi="Times New Roman" w:cs="Times New Roman"/>
          <w:sz w:val="24"/>
          <w:szCs w:val="24"/>
        </w:rPr>
        <w:t>Rajme López</w:t>
      </w:r>
      <w:r w:rsidRPr="008F5617">
        <w:rPr>
          <w:rFonts w:ascii="Times New Roman" w:hAnsi="Times New Roman" w:cs="Times New Roman"/>
          <w:sz w:val="24"/>
          <w:szCs w:val="24"/>
          <w:vertAlign w:val="superscript"/>
        </w:rPr>
        <w:t>14</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Julio C </w:t>
      </w:r>
      <w:r w:rsidRPr="00D21118">
        <w:rPr>
          <w:rFonts w:ascii="Times New Roman" w:hAnsi="Times New Roman" w:cs="Times New Roman"/>
          <w:sz w:val="24"/>
          <w:szCs w:val="24"/>
        </w:rPr>
        <w:t>Cambray Gutierrez</w:t>
      </w:r>
      <w:r w:rsidRPr="008F5617">
        <w:rPr>
          <w:rFonts w:ascii="Times New Roman" w:hAnsi="Times New Roman" w:cs="Times New Roman"/>
          <w:sz w:val="24"/>
          <w:szCs w:val="24"/>
          <w:vertAlign w:val="superscript"/>
        </w:rPr>
        <w:t>15</w:t>
      </w:r>
      <w:r>
        <w:rPr>
          <w:rFonts w:ascii="Times New Roman" w:hAnsi="Times New Roman" w:cs="Times New Roman"/>
          <w:sz w:val="24"/>
          <w:szCs w:val="24"/>
        </w:rPr>
        <w:t>,</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Joel </w:t>
      </w:r>
      <w:r w:rsidRPr="00D21118">
        <w:rPr>
          <w:rFonts w:ascii="Times New Roman" w:hAnsi="Times New Roman" w:cs="Times New Roman"/>
          <w:sz w:val="24"/>
          <w:szCs w:val="24"/>
        </w:rPr>
        <w:t>Barroso Santos</w:t>
      </w:r>
      <w:r w:rsidRPr="008F5617">
        <w:rPr>
          <w:rFonts w:ascii="Times New Roman" w:hAnsi="Times New Roman" w:cs="Times New Roman"/>
          <w:sz w:val="24"/>
          <w:szCs w:val="24"/>
          <w:vertAlign w:val="superscript"/>
        </w:rPr>
        <w:t>16</w:t>
      </w:r>
      <w:r>
        <w:rPr>
          <w:rFonts w:ascii="Times New Roman" w:hAnsi="Times New Roman" w:cs="Times New Roman"/>
          <w:sz w:val="24"/>
          <w:szCs w:val="24"/>
        </w:rPr>
        <w:t xml:space="preserve">, Guadalupe </w:t>
      </w:r>
      <w:r w:rsidRPr="00D21118">
        <w:rPr>
          <w:rFonts w:ascii="Times New Roman" w:hAnsi="Times New Roman" w:cs="Times New Roman"/>
          <w:sz w:val="24"/>
          <w:szCs w:val="24"/>
        </w:rPr>
        <w:t>Ramírez</w:t>
      </w:r>
      <w:r>
        <w:rPr>
          <w:rFonts w:ascii="Times New Roman" w:hAnsi="Times New Roman" w:cs="Times New Roman"/>
          <w:sz w:val="24"/>
          <w:szCs w:val="24"/>
        </w:rPr>
        <w:t xml:space="preserve"> Vázquez</w:t>
      </w:r>
      <w:r w:rsidRPr="008F5617">
        <w:rPr>
          <w:rFonts w:ascii="Times New Roman" w:hAnsi="Times New Roman" w:cs="Times New Roman"/>
          <w:sz w:val="24"/>
          <w:szCs w:val="24"/>
          <w:vertAlign w:val="superscript"/>
        </w:rPr>
        <w:t>16</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Rosa M </w:t>
      </w:r>
      <w:r w:rsidRPr="00D21118">
        <w:rPr>
          <w:rFonts w:ascii="Times New Roman" w:hAnsi="Times New Roman" w:cs="Times New Roman"/>
          <w:sz w:val="24"/>
          <w:szCs w:val="24"/>
        </w:rPr>
        <w:t>Covarrubias Carrillo</w:t>
      </w:r>
      <w:r w:rsidRPr="008F5617">
        <w:rPr>
          <w:rFonts w:ascii="Times New Roman" w:hAnsi="Times New Roman" w:cs="Times New Roman"/>
          <w:sz w:val="24"/>
          <w:szCs w:val="24"/>
          <w:vertAlign w:val="superscript"/>
        </w:rPr>
        <w:t>17</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Valeria </w:t>
      </w:r>
      <w:r w:rsidRPr="00D21118">
        <w:rPr>
          <w:rFonts w:ascii="Times New Roman" w:hAnsi="Times New Roman" w:cs="Times New Roman"/>
          <w:sz w:val="24"/>
          <w:szCs w:val="24"/>
        </w:rPr>
        <w:t>Gomez Toscano</w:t>
      </w:r>
      <w:r w:rsidRPr="008F5617">
        <w:rPr>
          <w:rFonts w:ascii="Times New Roman" w:hAnsi="Times New Roman" w:cs="Times New Roman"/>
          <w:sz w:val="24"/>
          <w:szCs w:val="24"/>
          <w:vertAlign w:val="superscript"/>
        </w:rPr>
        <w:t>18</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Aristóteles </w:t>
      </w:r>
      <w:r w:rsidRPr="00D21118">
        <w:rPr>
          <w:rFonts w:ascii="Times New Roman" w:hAnsi="Times New Roman" w:cs="Times New Roman"/>
          <w:sz w:val="24"/>
          <w:szCs w:val="24"/>
        </w:rPr>
        <w:t>Alvarez Cardona</w:t>
      </w:r>
      <w:r w:rsidRPr="00F90BFE">
        <w:rPr>
          <w:rFonts w:ascii="Times New Roman" w:hAnsi="Times New Roman" w:cs="Times New Roman"/>
          <w:sz w:val="24"/>
          <w:szCs w:val="24"/>
          <w:vertAlign w:val="superscript"/>
        </w:rPr>
        <w:t>19</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Beatriz A </w:t>
      </w:r>
      <w:r w:rsidRPr="00D21118">
        <w:rPr>
          <w:rFonts w:ascii="Times New Roman" w:hAnsi="Times New Roman" w:cs="Times New Roman"/>
          <w:sz w:val="24"/>
          <w:szCs w:val="24"/>
        </w:rPr>
        <w:t>Llamas Guillen</w:t>
      </w:r>
      <w:r w:rsidRPr="001A26B5">
        <w:rPr>
          <w:rFonts w:ascii="Times New Roman" w:hAnsi="Times New Roman" w:cs="Times New Roman"/>
          <w:sz w:val="24"/>
          <w:szCs w:val="24"/>
          <w:vertAlign w:val="superscript"/>
        </w:rPr>
        <w:t>20</w:t>
      </w:r>
      <w:r>
        <w:rPr>
          <w:rFonts w:ascii="Times New Roman" w:hAnsi="Times New Roman" w:cs="Times New Roman"/>
          <w:sz w:val="24"/>
          <w:szCs w:val="24"/>
        </w:rPr>
        <w:t xml:space="preserve">, Carmen </w:t>
      </w:r>
      <w:r w:rsidRPr="00D21118">
        <w:rPr>
          <w:rFonts w:ascii="Times New Roman" w:hAnsi="Times New Roman" w:cs="Times New Roman"/>
          <w:sz w:val="24"/>
          <w:szCs w:val="24"/>
        </w:rPr>
        <w:t>Zárate Hernández</w:t>
      </w:r>
      <w:r w:rsidRPr="0011060E">
        <w:rPr>
          <w:rFonts w:ascii="Times New Roman" w:hAnsi="Times New Roman" w:cs="Times New Roman"/>
          <w:sz w:val="24"/>
          <w:szCs w:val="24"/>
          <w:vertAlign w:val="superscript"/>
        </w:rPr>
        <w:t>21</w:t>
      </w:r>
      <w:r>
        <w:rPr>
          <w:rFonts w:ascii="Times New Roman" w:hAnsi="Times New Roman" w:cs="Times New Roman"/>
          <w:sz w:val="24"/>
          <w:szCs w:val="24"/>
        </w:rPr>
        <w:t xml:space="preserve">, Ana Isabel </w:t>
      </w:r>
      <w:r w:rsidRPr="00D21118">
        <w:rPr>
          <w:rFonts w:ascii="Times New Roman" w:hAnsi="Times New Roman" w:cs="Times New Roman"/>
          <w:sz w:val="24"/>
          <w:szCs w:val="24"/>
        </w:rPr>
        <w:t>Jiménez Romero</w:t>
      </w:r>
      <w:r w:rsidRPr="0011060E">
        <w:rPr>
          <w:rFonts w:ascii="Times New Roman" w:hAnsi="Times New Roman" w:cs="Times New Roman"/>
          <w:sz w:val="24"/>
          <w:szCs w:val="24"/>
          <w:vertAlign w:val="superscript"/>
        </w:rPr>
        <w:t>22</w:t>
      </w:r>
      <w:r>
        <w:rPr>
          <w:rFonts w:ascii="Times New Roman" w:hAnsi="Times New Roman" w:cs="Times New Roman"/>
          <w:sz w:val="24"/>
          <w:szCs w:val="24"/>
        </w:rPr>
        <w:t xml:space="preserve">, Aidé Tamara </w:t>
      </w:r>
      <w:r w:rsidRPr="00D21118">
        <w:rPr>
          <w:rFonts w:ascii="Times New Roman" w:hAnsi="Times New Roman" w:cs="Times New Roman"/>
          <w:sz w:val="24"/>
          <w:szCs w:val="24"/>
        </w:rPr>
        <w:t>Staines Boone</w:t>
      </w:r>
      <w:r w:rsidRPr="005E1AE2">
        <w:rPr>
          <w:rFonts w:ascii="Times New Roman" w:hAnsi="Times New Roman" w:cs="Times New Roman"/>
          <w:sz w:val="24"/>
          <w:szCs w:val="24"/>
          <w:vertAlign w:val="superscript"/>
        </w:rPr>
        <w:t>3</w:t>
      </w:r>
      <w:r>
        <w:rPr>
          <w:rFonts w:ascii="Times New Roman" w:hAnsi="Times New Roman" w:cs="Times New Roman"/>
          <w:sz w:val="24"/>
          <w:szCs w:val="24"/>
        </w:rPr>
        <w:t xml:space="preserve">, Satoshi Okada, Mario Ernesto </w:t>
      </w:r>
      <w:r w:rsidRPr="00D21118">
        <w:rPr>
          <w:rFonts w:ascii="Times New Roman" w:hAnsi="Times New Roman" w:cs="Times New Roman"/>
          <w:sz w:val="24"/>
          <w:szCs w:val="24"/>
        </w:rPr>
        <w:t>Cruz Muñoz</w:t>
      </w:r>
      <w:r w:rsidRPr="0011060E">
        <w:rPr>
          <w:rFonts w:ascii="Times New Roman" w:hAnsi="Times New Roman" w:cs="Times New Roman"/>
          <w:sz w:val="24"/>
          <w:szCs w:val="24"/>
          <w:vertAlign w:val="superscript"/>
        </w:rPr>
        <w:t>23</w:t>
      </w:r>
      <w:r>
        <w:rPr>
          <w:rFonts w:ascii="Times New Roman" w:hAnsi="Times New Roman" w:cs="Times New Roman"/>
          <w:sz w:val="24"/>
          <w:szCs w:val="24"/>
        </w:rPr>
        <w:t>,</w:t>
      </w:r>
      <w:r w:rsidRPr="00D21118">
        <w:rPr>
          <w:rFonts w:ascii="Times New Roman" w:hAnsi="Times New Roman" w:cs="Times New Roman"/>
          <w:sz w:val="24"/>
          <w:szCs w:val="24"/>
        </w:rPr>
        <w:t xml:space="preserve"> </w:t>
      </w:r>
      <w:r>
        <w:rPr>
          <w:rFonts w:ascii="Times New Roman" w:hAnsi="Times New Roman" w:cs="Times New Roman"/>
          <w:sz w:val="24"/>
          <w:szCs w:val="24"/>
        </w:rPr>
        <w:t xml:space="preserve">Chiharu </w:t>
      </w:r>
      <w:r w:rsidRPr="00D21118">
        <w:rPr>
          <w:rFonts w:ascii="Times New Roman" w:hAnsi="Times New Roman" w:cs="Times New Roman"/>
          <w:sz w:val="24"/>
          <w:szCs w:val="24"/>
        </w:rPr>
        <w:t>Murata</w:t>
      </w:r>
      <w:r w:rsidRPr="0011060E">
        <w:rPr>
          <w:rFonts w:ascii="Times New Roman" w:hAnsi="Times New Roman" w:cs="Times New Roman"/>
          <w:sz w:val="24"/>
          <w:szCs w:val="24"/>
          <w:vertAlign w:val="superscript"/>
        </w:rPr>
        <w:t>24</w:t>
      </w:r>
      <w:r>
        <w:rPr>
          <w:rFonts w:ascii="Times New Roman" w:hAnsi="Times New Roman" w:cs="Times New Roman"/>
          <w:sz w:val="24"/>
          <w:szCs w:val="24"/>
        </w:rPr>
        <w:t>,</w:t>
      </w:r>
      <w:r w:rsidRPr="00D21118">
        <w:rPr>
          <w:rFonts w:ascii="Times New Roman" w:hAnsi="Times New Roman" w:cs="Times New Roman"/>
          <w:sz w:val="24"/>
          <w:szCs w:val="24"/>
        </w:rPr>
        <w:t xml:space="preserve"> </w:t>
      </w:r>
      <w:r>
        <w:rPr>
          <w:rFonts w:ascii="Times New Roman" w:hAnsi="Times New Roman" w:cs="Times New Roman"/>
          <w:sz w:val="24"/>
          <w:szCs w:val="24"/>
        </w:rPr>
        <w:t>&amp; Sara Elva</w:t>
      </w:r>
      <w:r w:rsidRPr="00D21118">
        <w:rPr>
          <w:rFonts w:ascii="Times New Roman" w:hAnsi="Times New Roman" w:cs="Times New Roman"/>
          <w:sz w:val="24"/>
          <w:szCs w:val="24"/>
        </w:rPr>
        <w:t xml:space="preserve"> Espinosa-Padilla</w:t>
      </w:r>
      <w:r w:rsidRPr="00237F86">
        <w:rPr>
          <w:rFonts w:ascii="Times New Roman" w:hAnsi="Times New Roman" w:cs="Times New Roman"/>
          <w:sz w:val="24"/>
          <w:szCs w:val="24"/>
          <w:vertAlign w:val="superscript"/>
        </w:rPr>
        <w:t>1</w:t>
      </w:r>
      <w:r w:rsidRPr="00D21118">
        <w:rPr>
          <w:rFonts w:ascii="Times New Roman" w:hAnsi="Times New Roman" w:cs="Times New Roman"/>
          <w:sz w:val="24"/>
          <w:szCs w:val="24"/>
        </w:rPr>
        <w:t>.</w:t>
      </w:r>
    </w:p>
    <w:p w14:paraId="386E7D10" w14:textId="77777777" w:rsidR="004B2580" w:rsidRDefault="004B2580" w:rsidP="004B2580">
      <w:pPr>
        <w:pStyle w:val="ListParagraph"/>
        <w:spacing w:after="0" w:line="240" w:lineRule="auto"/>
        <w:ind w:left="643"/>
        <w:jc w:val="both"/>
        <w:rPr>
          <w:rFonts w:ascii="Arial" w:hAnsi="Arial" w:cs="Arial"/>
        </w:rPr>
      </w:pPr>
    </w:p>
    <w:p w14:paraId="01C0A9A1" w14:textId="77777777" w:rsidR="004B2580" w:rsidRPr="00CD47E3" w:rsidRDefault="004B2580" w:rsidP="004B2580">
      <w:pPr>
        <w:spacing w:after="0" w:line="240" w:lineRule="auto"/>
        <w:rPr>
          <w:rFonts w:ascii="Times New Roman" w:hAnsi="Times New Roman" w:cs="Times New Roman"/>
          <w:i/>
          <w:iCs/>
          <w:lang w:val="en-US"/>
        </w:rPr>
      </w:pPr>
      <w:r w:rsidRPr="00CD47E3">
        <w:rPr>
          <w:rFonts w:ascii="Times New Roman" w:hAnsi="Times New Roman" w:cs="Times New Roman"/>
          <w:i/>
          <w:iCs/>
          <w:lang w:val="en-US"/>
        </w:rPr>
        <w:t>From the:</w:t>
      </w:r>
    </w:p>
    <w:p w14:paraId="57383EA8" w14:textId="77777777" w:rsidR="004B2580" w:rsidRPr="00AE05A0" w:rsidRDefault="004B2580" w:rsidP="004B2580">
      <w:pPr>
        <w:spacing w:after="0" w:line="240" w:lineRule="auto"/>
        <w:jc w:val="both"/>
        <w:rPr>
          <w:rFonts w:ascii="Times New Roman" w:hAnsi="Times New Roman" w:cs="Times New Roman"/>
          <w:lang w:val="en-US"/>
        </w:rPr>
      </w:pPr>
      <w:r w:rsidRPr="00CD47E3">
        <w:rPr>
          <w:rFonts w:ascii="Times New Roman" w:hAnsi="Times New Roman" w:cs="Times New Roman"/>
          <w:lang w:val="en-US"/>
        </w:rPr>
        <w:t xml:space="preserve">(1) Immune deficiencies Laboratory, and (2) Clinical Immunology Service, at the National Institute of </w:t>
      </w:r>
      <w:proofErr w:type="spellStart"/>
      <w:r w:rsidRPr="00CD47E3">
        <w:rPr>
          <w:rFonts w:ascii="Times New Roman" w:hAnsi="Times New Roman" w:cs="Times New Roman"/>
          <w:lang w:val="en-US"/>
        </w:rPr>
        <w:t>Peditrics</w:t>
      </w:r>
      <w:proofErr w:type="spellEnd"/>
      <w:r w:rsidRPr="00CD47E3">
        <w:rPr>
          <w:rFonts w:ascii="Times New Roman" w:hAnsi="Times New Roman" w:cs="Times New Roman"/>
          <w:lang w:val="en-US"/>
        </w:rPr>
        <w:t xml:space="preserve">, Mexico City; (3) Clinical Immunology Service, Hospital de Especialidades UMAE25 IMSS, Monterrey, Nuevo León; (4) Clinical Immunology, Hospital Angeles Morelia, Michoacán. </w:t>
      </w:r>
      <w:r w:rsidRPr="008D5003">
        <w:rPr>
          <w:rFonts w:ascii="Times New Roman" w:hAnsi="Times New Roman" w:cs="Times New Roman"/>
        </w:rPr>
        <w:t xml:space="preserve">(5) Hematopoietic stem-cell transplantation Unit, </w:t>
      </w:r>
      <w:r>
        <w:rPr>
          <w:rFonts w:ascii="Times New Roman" w:hAnsi="Times New Roman" w:cs="Times New Roman"/>
        </w:rPr>
        <w:t xml:space="preserve">and (6) Dermatology Service, at the </w:t>
      </w:r>
      <w:r w:rsidRPr="008D5003">
        <w:rPr>
          <w:rFonts w:ascii="Times New Roman" w:hAnsi="Times New Roman" w:cs="Times New Roman"/>
        </w:rPr>
        <w:t xml:space="preserve">National Institute of Pediatrics, Mexico City; </w:t>
      </w:r>
      <w:r w:rsidRPr="00FD3342">
        <w:rPr>
          <w:rFonts w:ascii="Times New Roman" w:hAnsi="Times New Roman" w:cs="Times New Roman"/>
        </w:rPr>
        <w:t>(</w:t>
      </w:r>
      <w:r>
        <w:rPr>
          <w:rFonts w:ascii="Times New Roman" w:hAnsi="Times New Roman" w:cs="Times New Roman"/>
        </w:rPr>
        <w:t>7</w:t>
      </w:r>
      <w:r w:rsidRPr="00FD3342">
        <w:rPr>
          <w:rFonts w:ascii="Times New Roman" w:hAnsi="Times New Roman" w:cs="Times New Roman"/>
        </w:rPr>
        <w:t xml:space="preserve">) </w:t>
      </w:r>
      <w:r>
        <w:rPr>
          <w:rFonts w:ascii="Times New Roman" w:hAnsi="Times New Roman" w:cs="Times New Roman"/>
        </w:rPr>
        <w:t>Pediatrics Department</w:t>
      </w:r>
      <w:r w:rsidRPr="00FD3342">
        <w:rPr>
          <w:rFonts w:ascii="Times New Roman" w:hAnsi="Times New Roman" w:cs="Times New Roman"/>
        </w:rPr>
        <w:t>, Hospital del Niño Poblano, Puebla, Puebla</w:t>
      </w:r>
      <w:r>
        <w:rPr>
          <w:rFonts w:ascii="Times New Roman" w:hAnsi="Times New Roman" w:cs="Times New Roman"/>
        </w:rPr>
        <w:t>;</w:t>
      </w:r>
      <w:r w:rsidRPr="00FD3342">
        <w:rPr>
          <w:rFonts w:ascii="Times New Roman" w:hAnsi="Times New Roman" w:cs="Times New Roman"/>
        </w:rPr>
        <w:t xml:space="preserve"> (8) </w:t>
      </w:r>
      <w:r>
        <w:rPr>
          <w:rFonts w:ascii="Times New Roman" w:hAnsi="Times New Roman" w:cs="Times New Roman"/>
        </w:rPr>
        <w:t xml:space="preserve">Immunology Department, </w:t>
      </w:r>
      <w:r w:rsidRPr="00FD3342">
        <w:rPr>
          <w:rFonts w:ascii="Times New Roman" w:hAnsi="Times New Roman" w:cs="Times New Roman"/>
        </w:rPr>
        <w:t xml:space="preserve">Departamento de Inmunología, Escuela Nacional de Ciencias Biológicas, Instituto Politécnico Nacional, Ciudad de México. (9) Departamento de Alergia e Inmunología, Secretaría de Salud Hospital Juárez de México. (10) Servicio de Inmunología y Alergia, Hospital de Especialidades, Centro Médico Nacional de Occidente IMSS, Guadalajara, Jalisco. (11) Servicio de Inmunología y Alergia, Hospital de Pediatría, Centro Médico Nacional de Occidente IMSS, Guadalajara, Jalisco. (12) Servicio de Inmunología y Alergia, Hospital de la Niñez Oaxaqueña, Oaxaca, Oaxaca. (13) Hospital de Especialidades El Mirador, Tuxtla Gutiérrez, Chiapas. (14) Servicio de Infectología, Instituto Nacional de Nutrición y Ciencias Médicas “Dr Salvador Zubirán”, Ciudad de México. (15) Alergia e Inmunología Clínica, HGR200 IMSS, Tecámac, Estado de México. (16) Servicio de Inmunología, Hospital del Niño DIF, Pachuca, Hidalgo. (17) Departamento de Inmunología, Hospital General de Zacatecas, Zacatecas, ZAC. (18) Hospital de Gineco-Pediatría, CMN del Bajío, IMSS, Leon, Guanajuato. (19) Inmunología y Alergia, Universidad Autónoma de Aguascalientes, Aguascalientes, AGS. (20) Alergia e Inmunología Clínica, Hospital del Niño Morelense, Cuernavaca, Morelos. (21) Alergia e Inmunología Clínica, Hospital Angeles León, Guanajuato.  (22) Servicio de Inmunología Clínica, Hospital Universitario, Monterrey, Nuevo León. (23) Laboratorio de Inmunología Molecular, Facultad de Medicina UPAEP, Cuernavaca, Morelos. </w:t>
      </w:r>
      <w:r w:rsidRPr="00AE05A0">
        <w:rPr>
          <w:rFonts w:ascii="Times New Roman" w:hAnsi="Times New Roman" w:cs="Times New Roman"/>
          <w:lang w:val="en-US"/>
        </w:rPr>
        <w:t>(24) Research Methodology Department, National Institute of Pediatrics, Mexico City, M</w:t>
      </w:r>
      <w:r>
        <w:rPr>
          <w:rFonts w:ascii="Times New Roman" w:hAnsi="Times New Roman" w:cs="Times New Roman"/>
          <w:lang w:val="en-US"/>
        </w:rPr>
        <w:t>e</w:t>
      </w:r>
      <w:r w:rsidRPr="00AE05A0">
        <w:rPr>
          <w:rFonts w:ascii="Times New Roman" w:hAnsi="Times New Roman" w:cs="Times New Roman"/>
          <w:lang w:val="en-US"/>
        </w:rPr>
        <w:t>xico.</w:t>
      </w:r>
    </w:p>
    <w:p w14:paraId="23C8A394" w14:textId="77777777" w:rsidR="004B2580" w:rsidRPr="00AE05A0" w:rsidRDefault="004B2580" w:rsidP="004B2580">
      <w:pPr>
        <w:pStyle w:val="ListParagraph"/>
        <w:spacing w:after="0" w:line="240" w:lineRule="auto"/>
        <w:jc w:val="both"/>
        <w:rPr>
          <w:rFonts w:ascii="Arial" w:hAnsi="Arial" w:cs="Arial"/>
          <w:lang w:val="en-US"/>
        </w:rPr>
      </w:pPr>
    </w:p>
    <w:p w14:paraId="63382880" w14:textId="77777777" w:rsidR="004B2580" w:rsidRPr="00AC7D2F" w:rsidRDefault="004B2580" w:rsidP="004B2580">
      <w:pPr>
        <w:spacing w:line="240" w:lineRule="auto"/>
        <w:rPr>
          <w:rFonts w:ascii="Arial" w:hAnsi="Arial" w:cs="Arial"/>
          <w:lang w:val="en-US"/>
        </w:rPr>
      </w:pPr>
      <w:r w:rsidRPr="00AC7D2F">
        <w:rPr>
          <w:rFonts w:ascii="Arial" w:hAnsi="Arial" w:cs="Arial"/>
          <w:lang w:val="en-US"/>
        </w:rPr>
        <w:t xml:space="preserve">Corresponding author: </w:t>
      </w:r>
      <w:hyperlink r:id="rId4" w:history="1">
        <w:r w:rsidRPr="00AC7D2F">
          <w:rPr>
            <w:rStyle w:val="Hyperlink"/>
            <w:rFonts w:ascii="Arial" w:hAnsi="Arial" w:cs="Arial"/>
            <w:lang w:val="en-US"/>
          </w:rPr>
          <w:t>dr.lugo.reyes@gmail.com / +5215551851366</w:t>
        </w:r>
      </w:hyperlink>
    </w:p>
    <w:p w14:paraId="7C769821" w14:textId="77777777" w:rsidR="004B2580" w:rsidRPr="00137083" w:rsidRDefault="004B2580" w:rsidP="004B2580">
      <w:pPr>
        <w:spacing w:line="240" w:lineRule="auto"/>
        <w:rPr>
          <w:rFonts w:ascii="Arial" w:hAnsi="Arial" w:cs="Arial"/>
          <w:lang w:val="en-US"/>
        </w:rPr>
      </w:pPr>
      <w:r w:rsidRPr="00137083">
        <w:rPr>
          <w:rFonts w:ascii="Arial" w:hAnsi="Arial" w:cs="Arial"/>
          <w:b/>
          <w:bCs/>
          <w:lang w:val="en-US"/>
        </w:rPr>
        <w:t>Conflict of interests</w:t>
      </w:r>
      <w:r w:rsidRPr="00137083">
        <w:rPr>
          <w:rFonts w:ascii="Arial" w:hAnsi="Arial" w:cs="Arial"/>
          <w:lang w:val="en-US"/>
        </w:rPr>
        <w:t xml:space="preserve">: None. </w:t>
      </w:r>
    </w:p>
    <w:p w14:paraId="6CB71DD3" w14:textId="77777777" w:rsidR="004B2580" w:rsidRPr="00137083" w:rsidRDefault="004B2580" w:rsidP="004B2580">
      <w:pPr>
        <w:spacing w:line="240" w:lineRule="auto"/>
        <w:rPr>
          <w:rFonts w:ascii="Arial" w:hAnsi="Arial" w:cs="Arial"/>
          <w:lang w:val="en-US"/>
        </w:rPr>
      </w:pPr>
    </w:p>
    <w:p w14:paraId="480020F6" w14:textId="77777777" w:rsidR="004B2580" w:rsidRPr="00AC7D2F" w:rsidRDefault="004B2580" w:rsidP="004B2580">
      <w:pPr>
        <w:spacing w:line="240" w:lineRule="auto"/>
        <w:rPr>
          <w:rFonts w:ascii="Arial" w:hAnsi="Arial" w:cs="Arial"/>
          <w:b/>
          <w:bCs/>
          <w:lang w:val="en-US"/>
        </w:rPr>
      </w:pPr>
      <w:r w:rsidRPr="00AC7D2F">
        <w:rPr>
          <w:rFonts w:ascii="Arial" w:hAnsi="Arial" w:cs="Arial"/>
          <w:b/>
          <w:bCs/>
          <w:lang w:val="en-US"/>
        </w:rPr>
        <w:t xml:space="preserve">ABSTRACT: </w:t>
      </w:r>
    </w:p>
    <w:p w14:paraId="47FD5A34" w14:textId="77777777" w:rsidR="004B2580" w:rsidRDefault="004B2580" w:rsidP="004B2580">
      <w:pPr>
        <w:spacing w:line="240" w:lineRule="auto"/>
        <w:jc w:val="both"/>
        <w:rPr>
          <w:rFonts w:ascii="Arial" w:hAnsi="Arial" w:cs="Arial"/>
          <w:lang w:val="en-US"/>
        </w:rPr>
      </w:pPr>
      <w:r w:rsidRPr="00AC7D2F">
        <w:rPr>
          <w:rFonts w:ascii="Arial" w:hAnsi="Arial" w:cs="Arial"/>
          <w:lang w:val="en-US"/>
        </w:rPr>
        <w:t xml:space="preserve">INTRODUCTION: The National Institute of Pediatrics is a referral center where we discuss and pursue the molecular and genetic diagnoses of patients with suspected inborn errors of immunity (IEI) from around the country. Since 2019, we process and analyze our own whole-exome sequencing (WES) results at the </w:t>
      </w:r>
      <w:r>
        <w:rPr>
          <w:rFonts w:ascii="Arial" w:hAnsi="Arial" w:cs="Arial"/>
          <w:lang w:val="en-US"/>
        </w:rPr>
        <w:t xml:space="preserve">ID </w:t>
      </w:r>
      <w:r w:rsidRPr="00AC7D2F">
        <w:rPr>
          <w:rFonts w:ascii="Arial" w:hAnsi="Arial" w:cs="Arial"/>
          <w:lang w:val="en-US"/>
        </w:rPr>
        <w:t>lab. Assessing our diagnostic yield as a measure of performance and quality control might help optimize processes, improve patient selection and resource allocation.</w:t>
      </w:r>
    </w:p>
    <w:p w14:paraId="5D7A58C0" w14:textId="77777777" w:rsidR="004B2580" w:rsidRPr="00AC7D2F" w:rsidRDefault="004B2580" w:rsidP="004B2580">
      <w:pPr>
        <w:spacing w:line="240" w:lineRule="auto"/>
        <w:jc w:val="both"/>
        <w:rPr>
          <w:rFonts w:ascii="Arial" w:hAnsi="Arial" w:cs="Arial"/>
          <w:lang w:val="en-US"/>
        </w:rPr>
      </w:pPr>
      <w:r w:rsidRPr="00AC7D2F">
        <w:rPr>
          <w:rFonts w:ascii="Arial" w:hAnsi="Arial" w:cs="Arial"/>
          <w:lang w:val="en-US"/>
        </w:rPr>
        <w:t>OBJECTIVE:</w:t>
      </w:r>
      <w:r>
        <w:rPr>
          <w:rFonts w:ascii="Arial" w:hAnsi="Arial" w:cs="Arial"/>
          <w:lang w:val="en-US"/>
        </w:rPr>
        <w:t xml:space="preserve"> To</w:t>
      </w:r>
      <w:r w:rsidRPr="00AC7D2F">
        <w:rPr>
          <w:rFonts w:ascii="Arial" w:hAnsi="Arial" w:cs="Arial"/>
          <w:lang w:val="en-US"/>
        </w:rPr>
        <w:t xml:space="preserve"> characterize our patients with suspected inborn errors of immunity and WES, to compare our diagnostic yield, and to identify attributes that might predict a positive diagnosis.</w:t>
      </w:r>
    </w:p>
    <w:p w14:paraId="39ABB21D" w14:textId="77777777" w:rsidR="004B2580" w:rsidRPr="00AC7D2F" w:rsidRDefault="004B2580" w:rsidP="004B2580">
      <w:pPr>
        <w:spacing w:line="240" w:lineRule="auto"/>
        <w:jc w:val="both"/>
        <w:rPr>
          <w:rFonts w:ascii="Arial" w:hAnsi="Arial" w:cs="Arial"/>
          <w:lang w:val="en-US"/>
        </w:rPr>
      </w:pPr>
      <w:r w:rsidRPr="00AC7D2F">
        <w:rPr>
          <w:rFonts w:ascii="Arial" w:hAnsi="Arial" w:cs="Arial"/>
          <w:lang w:val="en-US"/>
        </w:rPr>
        <w:t>METHODS:</w:t>
      </w:r>
      <w:r>
        <w:rPr>
          <w:rFonts w:ascii="Arial" w:hAnsi="Arial" w:cs="Arial"/>
          <w:lang w:val="en-US"/>
        </w:rPr>
        <w:t xml:space="preserve"> </w:t>
      </w:r>
      <w:r w:rsidRPr="00AC7D2F">
        <w:rPr>
          <w:rFonts w:ascii="Arial" w:hAnsi="Arial" w:cs="Arial"/>
          <w:lang w:val="en-US"/>
        </w:rPr>
        <w:t>Patients were diagnosed clinically and deemed high priority for sequencing by their clinicians. We obtained two FASTQ files per patient to complete the bioinformatic workflow using Galaxy for quality control, mapping &amp; alignment of the reads, as well as variant detection, annotation, and filtering</w:t>
      </w:r>
      <w:r>
        <w:rPr>
          <w:rFonts w:ascii="Arial" w:hAnsi="Arial" w:cs="Arial"/>
          <w:lang w:val="en-US"/>
        </w:rPr>
        <w:t>.</w:t>
      </w:r>
      <w:r w:rsidRPr="00AC7D2F">
        <w:rPr>
          <w:rFonts w:ascii="Arial" w:hAnsi="Arial" w:cs="Arial"/>
          <w:lang w:val="en-US"/>
        </w:rPr>
        <w:t xml:space="preserve"> We defined diagnostic yield as the proportion of patients with a genetic diagnosis after WES results analysis. </w:t>
      </w:r>
    </w:p>
    <w:p w14:paraId="0ADCDFC0" w14:textId="77777777" w:rsidR="004B2580" w:rsidRPr="00AC7D2F" w:rsidRDefault="004B2580" w:rsidP="004B2580">
      <w:pPr>
        <w:spacing w:line="240" w:lineRule="auto"/>
        <w:jc w:val="both"/>
        <w:rPr>
          <w:rFonts w:ascii="Arial" w:hAnsi="Arial" w:cs="Arial"/>
          <w:lang w:val="en-US"/>
        </w:rPr>
      </w:pPr>
      <w:r w:rsidRPr="00AC7D2F">
        <w:rPr>
          <w:rFonts w:ascii="Arial" w:hAnsi="Arial" w:cs="Arial"/>
          <w:lang w:val="en-US"/>
        </w:rPr>
        <w:t>RESULTS:</w:t>
      </w:r>
      <w:r>
        <w:rPr>
          <w:rFonts w:ascii="Arial" w:hAnsi="Arial" w:cs="Arial"/>
          <w:lang w:val="en-US"/>
        </w:rPr>
        <w:t xml:space="preserve"> </w:t>
      </w:r>
      <w:r w:rsidRPr="00AC7D2F">
        <w:rPr>
          <w:rFonts w:ascii="Arial" w:hAnsi="Arial" w:cs="Arial"/>
          <w:lang w:val="en-US"/>
        </w:rPr>
        <w:t>1</w:t>
      </w:r>
      <w:r>
        <w:rPr>
          <w:rFonts w:ascii="Arial" w:hAnsi="Arial" w:cs="Arial"/>
          <w:lang w:val="en-US"/>
        </w:rPr>
        <w:t>24</w:t>
      </w:r>
      <w:r w:rsidRPr="00AC7D2F">
        <w:rPr>
          <w:rFonts w:ascii="Arial" w:hAnsi="Arial" w:cs="Arial"/>
          <w:lang w:val="en-US"/>
        </w:rPr>
        <w:t xml:space="preserve"> patients from 2</w:t>
      </w:r>
      <w:r>
        <w:rPr>
          <w:rFonts w:ascii="Arial" w:hAnsi="Arial" w:cs="Arial"/>
          <w:lang w:val="en-US"/>
        </w:rPr>
        <w:t>7</w:t>
      </w:r>
      <w:r w:rsidRPr="00AC7D2F">
        <w:rPr>
          <w:rFonts w:ascii="Arial" w:hAnsi="Arial" w:cs="Arial"/>
          <w:lang w:val="en-US"/>
        </w:rPr>
        <w:t xml:space="preserve"> states in Mexico, mean age 9.</w:t>
      </w:r>
      <w:r>
        <w:rPr>
          <w:rFonts w:ascii="Arial" w:hAnsi="Arial" w:cs="Arial"/>
          <w:lang w:val="en-US"/>
        </w:rPr>
        <w:t>3</w:t>
      </w:r>
      <w:r w:rsidRPr="00AC7D2F">
        <w:rPr>
          <w:rFonts w:ascii="Arial" w:hAnsi="Arial" w:cs="Arial"/>
          <w:lang w:val="en-US"/>
        </w:rPr>
        <w:t xml:space="preserve"> years (range 0.25-37 years), 5</w:t>
      </w:r>
      <w:r>
        <w:rPr>
          <w:rFonts w:ascii="Arial" w:hAnsi="Arial" w:cs="Arial"/>
          <w:lang w:val="en-US"/>
        </w:rPr>
        <w:t>6</w:t>
      </w:r>
      <w:r w:rsidRPr="00AC7D2F">
        <w:rPr>
          <w:rFonts w:ascii="Arial" w:hAnsi="Arial" w:cs="Arial"/>
          <w:lang w:val="en-US"/>
        </w:rPr>
        <w:t>% male, 1</w:t>
      </w:r>
      <w:r>
        <w:rPr>
          <w:rFonts w:ascii="Arial" w:hAnsi="Arial" w:cs="Arial"/>
          <w:lang w:val="en-US"/>
        </w:rPr>
        <w:t>6</w:t>
      </w:r>
      <w:r w:rsidRPr="00AC7D2F">
        <w:rPr>
          <w:rFonts w:ascii="Arial" w:hAnsi="Arial" w:cs="Arial"/>
          <w:lang w:val="en-US"/>
        </w:rPr>
        <w:t>% dead.</w:t>
      </w:r>
      <w:r>
        <w:rPr>
          <w:rFonts w:ascii="Arial" w:hAnsi="Arial" w:cs="Arial"/>
          <w:lang w:val="en-US"/>
        </w:rPr>
        <w:t xml:space="preserve"> </w:t>
      </w:r>
      <w:r w:rsidRPr="00AC7D2F">
        <w:rPr>
          <w:rFonts w:ascii="Arial" w:hAnsi="Arial" w:cs="Arial"/>
          <w:lang w:val="en-US"/>
        </w:rPr>
        <w:t>In 5</w:t>
      </w:r>
      <w:r>
        <w:rPr>
          <w:rFonts w:ascii="Arial" w:hAnsi="Arial" w:cs="Arial"/>
          <w:lang w:val="en-US"/>
        </w:rPr>
        <w:t>6</w:t>
      </w:r>
      <w:r w:rsidRPr="00AC7D2F">
        <w:rPr>
          <w:rFonts w:ascii="Arial" w:hAnsi="Arial" w:cs="Arial"/>
          <w:lang w:val="en-US"/>
        </w:rPr>
        <w:t>/</w:t>
      </w:r>
      <w:r>
        <w:rPr>
          <w:rFonts w:ascii="Arial" w:hAnsi="Arial" w:cs="Arial"/>
          <w:lang w:val="en-US"/>
        </w:rPr>
        <w:t>124</w:t>
      </w:r>
      <w:r w:rsidRPr="00AC7D2F">
        <w:rPr>
          <w:rFonts w:ascii="Arial" w:hAnsi="Arial" w:cs="Arial"/>
          <w:lang w:val="en-US"/>
        </w:rPr>
        <w:t xml:space="preserve"> (4</w:t>
      </w:r>
      <w:r>
        <w:rPr>
          <w:rFonts w:ascii="Arial" w:hAnsi="Arial" w:cs="Arial"/>
          <w:lang w:val="en-US"/>
        </w:rPr>
        <w:t>5</w:t>
      </w:r>
      <w:r w:rsidRPr="00AC7D2F">
        <w:rPr>
          <w:rFonts w:ascii="Arial" w:hAnsi="Arial" w:cs="Arial"/>
          <w:lang w:val="en-US"/>
        </w:rPr>
        <w:t xml:space="preserve">%) analyzed exomes, we found rare pathogenic variants in at least one gene known to cause IEI that matched the patients’ phenotype and pertained to the IUIS 2020. In </w:t>
      </w:r>
      <w:r>
        <w:rPr>
          <w:rFonts w:ascii="Arial" w:hAnsi="Arial" w:cs="Arial"/>
          <w:lang w:val="en-US"/>
        </w:rPr>
        <w:t>5</w:t>
      </w:r>
      <w:r w:rsidRPr="00AC7D2F">
        <w:rPr>
          <w:rFonts w:ascii="Arial" w:hAnsi="Arial" w:cs="Arial"/>
          <w:lang w:val="en-US"/>
        </w:rPr>
        <w:t xml:space="preserve"> others, a monogenic diagnosis different t</w:t>
      </w:r>
      <w:r>
        <w:rPr>
          <w:rFonts w:ascii="Arial" w:hAnsi="Arial" w:cs="Arial"/>
          <w:lang w:val="en-US"/>
        </w:rPr>
        <w:t>h</w:t>
      </w:r>
      <w:r w:rsidRPr="00AC7D2F">
        <w:rPr>
          <w:rFonts w:ascii="Arial" w:hAnsi="Arial" w:cs="Arial"/>
          <w:lang w:val="en-US"/>
        </w:rPr>
        <w:t>an IEI was found</w:t>
      </w:r>
      <w:r>
        <w:rPr>
          <w:rFonts w:ascii="Arial" w:hAnsi="Arial" w:cs="Arial"/>
          <w:lang w:val="en-US"/>
        </w:rPr>
        <w:t>,</w:t>
      </w:r>
      <w:r w:rsidRPr="00AC7D2F">
        <w:rPr>
          <w:rFonts w:ascii="Arial" w:hAnsi="Arial" w:cs="Arial"/>
          <w:lang w:val="en-US"/>
        </w:rPr>
        <w:t xml:space="preserve"> for a final </w:t>
      </w:r>
      <w:r w:rsidRPr="00C32F57">
        <w:rPr>
          <w:rFonts w:ascii="Arial" w:hAnsi="Arial" w:cs="Arial"/>
          <w:lang w:val="en-US"/>
        </w:rPr>
        <w:t xml:space="preserve">diagnostic yield of </w:t>
      </w:r>
      <w:r>
        <w:rPr>
          <w:rFonts w:ascii="Arial" w:hAnsi="Arial" w:cs="Arial"/>
          <w:lang w:val="en-US"/>
        </w:rPr>
        <w:t>61</w:t>
      </w:r>
      <w:r w:rsidRPr="00C32F57">
        <w:rPr>
          <w:rFonts w:ascii="Arial" w:hAnsi="Arial" w:cs="Arial"/>
          <w:lang w:val="en-US"/>
        </w:rPr>
        <w:t>/1</w:t>
      </w:r>
      <w:r>
        <w:rPr>
          <w:rFonts w:ascii="Arial" w:hAnsi="Arial" w:cs="Arial"/>
          <w:lang w:val="en-US"/>
        </w:rPr>
        <w:t>24</w:t>
      </w:r>
      <w:r w:rsidRPr="00C32F57">
        <w:rPr>
          <w:rFonts w:ascii="Arial" w:hAnsi="Arial" w:cs="Arial"/>
          <w:lang w:val="en-US"/>
        </w:rPr>
        <w:t xml:space="preserve"> (</w:t>
      </w:r>
      <w:r>
        <w:rPr>
          <w:rFonts w:ascii="Arial" w:hAnsi="Arial" w:cs="Arial"/>
          <w:lang w:val="en-US"/>
        </w:rPr>
        <w:t>49</w:t>
      </w:r>
      <w:r w:rsidRPr="00C32F57">
        <w:rPr>
          <w:rFonts w:ascii="Arial" w:hAnsi="Arial" w:cs="Arial"/>
          <w:lang w:val="en-US"/>
        </w:rPr>
        <w:t>%)</w:t>
      </w:r>
      <w:r w:rsidRPr="00AC7D2F">
        <w:rPr>
          <w:rFonts w:ascii="Arial" w:hAnsi="Arial" w:cs="Arial"/>
          <w:lang w:val="en-US"/>
        </w:rPr>
        <w:t>.</w:t>
      </w:r>
      <w:r>
        <w:rPr>
          <w:rFonts w:ascii="Arial" w:hAnsi="Arial" w:cs="Arial"/>
          <w:lang w:val="en-US"/>
        </w:rPr>
        <w:t xml:space="preserve"> </w:t>
      </w:r>
      <w:r w:rsidRPr="00AC7D2F">
        <w:rPr>
          <w:rFonts w:ascii="Arial" w:hAnsi="Arial" w:cs="Arial"/>
          <w:lang w:val="en-US"/>
        </w:rPr>
        <w:t xml:space="preserve">In nearly half of the patients who had died before having their exomes analyzed, a genetic etiology was identified. </w:t>
      </w:r>
    </w:p>
    <w:p w14:paraId="56807ABA" w14:textId="77777777" w:rsidR="004B2580" w:rsidRPr="00AC7D2F" w:rsidRDefault="004B2580" w:rsidP="004B2580">
      <w:pPr>
        <w:spacing w:line="240" w:lineRule="auto"/>
        <w:jc w:val="both"/>
        <w:rPr>
          <w:rFonts w:ascii="Arial" w:hAnsi="Arial" w:cs="Arial"/>
          <w:lang w:val="en-US"/>
        </w:rPr>
      </w:pPr>
      <w:r w:rsidRPr="00AC7D2F">
        <w:rPr>
          <w:rFonts w:ascii="Arial" w:hAnsi="Arial" w:cs="Arial"/>
          <w:lang w:val="en-US"/>
        </w:rPr>
        <w:t>DISCUSSION:</w:t>
      </w:r>
      <w:r>
        <w:rPr>
          <w:rFonts w:ascii="Arial" w:hAnsi="Arial" w:cs="Arial"/>
          <w:lang w:val="en-US"/>
        </w:rPr>
        <w:t xml:space="preserve"> </w:t>
      </w:r>
      <w:r w:rsidRPr="00AC7D2F">
        <w:rPr>
          <w:rFonts w:ascii="Arial" w:hAnsi="Arial" w:cs="Arial"/>
          <w:lang w:val="en-US"/>
        </w:rPr>
        <w:t xml:space="preserve">We describe our experience </w:t>
      </w:r>
      <w:r>
        <w:rPr>
          <w:rFonts w:ascii="Arial" w:hAnsi="Arial" w:cs="Arial"/>
          <w:lang w:val="en-US"/>
        </w:rPr>
        <w:t xml:space="preserve">with </w:t>
      </w:r>
      <w:r w:rsidRPr="00AC7D2F">
        <w:rPr>
          <w:rFonts w:ascii="Arial" w:hAnsi="Arial" w:cs="Arial"/>
          <w:lang w:val="en-US"/>
        </w:rPr>
        <w:t>12</w:t>
      </w:r>
      <w:r>
        <w:rPr>
          <w:rFonts w:ascii="Arial" w:hAnsi="Arial" w:cs="Arial"/>
          <w:lang w:val="en-US"/>
        </w:rPr>
        <w:t>4</w:t>
      </w:r>
      <w:r w:rsidRPr="00AC7D2F">
        <w:rPr>
          <w:rFonts w:ascii="Arial" w:hAnsi="Arial" w:cs="Arial"/>
          <w:lang w:val="en-US"/>
        </w:rPr>
        <w:t xml:space="preserve"> exomes at home, a first report from our country. Our results compare well with those from other centers. No feature by itself predicts a definitive diagnosis. </w:t>
      </w:r>
    </w:p>
    <w:p w14:paraId="19F11155" w14:textId="77777777" w:rsidR="004B2580" w:rsidRPr="00AC7D2F" w:rsidRDefault="004B2580" w:rsidP="004B2580">
      <w:pPr>
        <w:spacing w:line="240" w:lineRule="auto"/>
        <w:rPr>
          <w:rFonts w:ascii="Arial" w:hAnsi="Arial" w:cs="Arial"/>
          <w:lang w:val="en-US"/>
        </w:rPr>
      </w:pPr>
    </w:p>
    <w:p w14:paraId="5032A299" w14:textId="77777777" w:rsidR="004B2580" w:rsidRPr="004B17A4" w:rsidRDefault="004B2580" w:rsidP="004B2580">
      <w:pPr>
        <w:spacing w:line="240" w:lineRule="auto"/>
        <w:jc w:val="both"/>
        <w:rPr>
          <w:rFonts w:ascii="Arial" w:hAnsi="Arial" w:cs="Arial"/>
          <w:b/>
          <w:bCs/>
        </w:rPr>
      </w:pPr>
      <w:r w:rsidRPr="00AC7D2F">
        <w:rPr>
          <w:rFonts w:ascii="Arial" w:hAnsi="Arial" w:cs="Arial"/>
          <w:b/>
          <w:bCs/>
        </w:rPr>
        <w:t>Keywords</w:t>
      </w:r>
      <w:r w:rsidRPr="00AC7D2F">
        <w:rPr>
          <w:rFonts w:ascii="Arial" w:hAnsi="Arial" w:cs="Arial"/>
        </w:rPr>
        <w:t>: whole-exome sequencing, next-generation, exoma, errores innatos de la inmunidad, rendimiento diagnóstico, cosecha, inmunodeficiencias primarias, infecciones recurrentes, autoinmunidad, México.</w:t>
      </w:r>
    </w:p>
    <w:p w14:paraId="4194B4AE" w14:textId="77777777" w:rsidR="004B2580" w:rsidRPr="00AC7D2F" w:rsidRDefault="004B2580" w:rsidP="004B2580">
      <w:pPr>
        <w:spacing w:line="240" w:lineRule="auto"/>
        <w:jc w:val="both"/>
        <w:rPr>
          <w:rFonts w:ascii="Arial" w:hAnsi="Arial" w:cs="Arial"/>
          <w:lang w:val="en-US"/>
        </w:rPr>
      </w:pPr>
      <w:r w:rsidRPr="00AC7D2F">
        <w:rPr>
          <w:rFonts w:ascii="Arial" w:hAnsi="Arial" w:cs="Arial"/>
          <w:b/>
          <w:bCs/>
          <w:lang w:val="en-US"/>
        </w:rPr>
        <w:t xml:space="preserve">ABREVIATIONS: </w:t>
      </w:r>
      <w:r w:rsidRPr="00AC7D2F">
        <w:rPr>
          <w:rFonts w:ascii="Arial" w:hAnsi="Arial" w:cs="Arial"/>
          <w:lang w:val="en-US"/>
        </w:rPr>
        <w:t xml:space="preserve">DNA, deoxyribonucleic acid; IEI, inborn errors of immunity; INP, Instituto Nacional de </w:t>
      </w:r>
      <w:proofErr w:type="spellStart"/>
      <w:r w:rsidRPr="00AC7D2F">
        <w:rPr>
          <w:rFonts w:ascii="Arial" w:hAnsi="Arial" w:cs="Arial"/>
          <w:lang w:val="en-US"/>
        </w:rPr>
        <w:t>Pediatría</w:t>
      </w:r>
      <w:proofErr w:type="spellEnd"/>
      <w:r w:rsidRPr="00AC7D2F">
        <w:rPr>
          <w:rFonts w:ascii="Arial" w:hAnsi="Arial" w:cs="Arial"/>
          <w:lang w:val="en-US"/>
        </w:rPr>
        <w:t xml:space="preserve">; NGS, next-generation sequencing; VUS, variant of uncertain significance; WES, whole-exome sequencing. </w:t>
      </w:r>
    </w:p>
    <w:p w14:paraId="614A3E92" w14:textId="77777777" w:rsidR="004B2580" w:rsidRPr="004B2580" w:rsidRDefault="004B2580">
      <w:pPr>
        <w:rPr>
          <w:lang w:val="en-US"/>
        </w:rPr>
      </w:pPr>
    </w:p>
    <w:sectPr w:rsidR="004B2580" w:rsidRPr="004B25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80"/>
    <w:rsid w:val="004B2580"/>
    <w:rsid w:val="00D02296"/>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decimalSymbol w:val="."/>
  <w:listSeparator w:val=","/>
  <w14:docId w14:val="132B2CE8"/>
  <w15:chartTrackingRefBased/>
  <w15:docId w15:val="{90E3C08A-654D-9348-91A6-AA427DEEE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580"/>
    <w:pPr>
      <w:spacing w:after="160" w:line="259" w:lineRule="auto"/>
    </w:pPr>
    <w:rPr>
      <w:sz w:val="22"/>
      <w:szCs w:val="22"/>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2580"/>
    <w:rPr>
      <w:color w:val="0563C1" w:themeColor="hyperlink"/>
      <w:u w:val="single"/>
    </w:rPr>
  </w:style>
  <w:style w:type="paragraph" w:styleId="ListParagraph">
    <w:name w:val="List Paragraph"/>
    <w:basedOn w:val="Normal"/>
    <w:uiPriority w:val="34"/>
    <w:qFormat/>
    <w:rsid w:val="004B25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lugo.reyes@gmail.com%20/%20+52155518513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865</Words>
  <Characters>4935</Characters>
  <Application>Microsoft Office Word</Application>
  <DocSecurity>0</DocSecurity>
  <Lines>41</Lines>
  <Paragraphs>11</Paragraphs>
  <ScaleCrop>false</ScaleCrop>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 Lugo</dc:creator>
  <cp:keywords/>
  <dc:description/>
  <cp:lastModifiedBy>Saul Lugo</cp:lastModifiedBy>
  <cp:revision>2</cp:revision>
  <dcterms:created xsi:type="dcterms:W3CDTF">2021-06-16T18:31:00Z</dcterms:created>
  <dcterms:modified xsi:type="dcterms:W3CDTF">2021-06-16T18:31:00Z</dcterms:modified>
</cp:coreProperties>
</file>