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7D2E5" w14:textId="7036F35A" w:rsidR="00160ABC" w:rsidRPr="00E5323E" w:rsidRDefault="008A07C4" w:rsidP="008A07C4">
      <w:pPr>
        <w:autoSpaceDE w:val="0"/>
        <w:autoSpaceDN w:val="0"/>
        <w:adjustRightInd w:val="0"/>
        <w:spacing w:after="0" w:line="240" w:lineRule="auto"/>
        <w:jc w:val="center"/>
        <w:rPr>
          <w:rFonts w:ascii="Arial" w:hAnsi="Arial" w:cs="Arial"/>
          <w:b/>
          <w:bCs/>
          <w:lang w:val="en-CA"/>
        </w:rPr>
      </w:pPr>
      <w:r w:rsidRPr="00E5323E">
        <w:rPr>
          <w:rFonts w:ascii="Arial" w:hAnsi="Arial" w:cs="Arial"/>
          <w:b/>
          <w:bCs/>
          <w:lang w:val="en-CA"/>
        </w:rPr>
        <w:t>Two</w:t>
      </w:r>
      <w:r w:rsidR="00160ABC" w:rsidRPr="00E5323E">
        <w:rPr>
          <w:rFonts w:ascii="Arial" w:hAnsi="Arial" w:cs="Arial"/>
          <w:b/>
          <w:bCs/>
          <w:lang w:val="en-CA"/>
        </w:rPr>
        <w:t xml:space="preserve"> ways to control </w:t>
      </w:r>
      <w:r w:rsidRPr="00E5323E">
        <w:rPr>
          <w:rFonts w:ascii="Arial" w:hAnsi="Arial" w:cs="Arial"/>
          <w:b/>
          <w:bCs/>
          <w:lang w:val="en-CA"/>
        </w:rPr>
        <w:t xml:space="preserve">CjCas9 </w:t>
      </w:r>
      <w:r w:rsidR="00160ABC" w:rsidRPr="00E5323E">
        <w:rPr>
          <w:rFonts w:ascii="Arial" w:hAnsi="Arial" w:cs="Arial"/>
          <w:b/>
          <w:bCs/>
          <w:lang w:val="en-CA"/>
        </w:rPr>
        <w:t>expression</w:t>
      </w:r>
      <w:r w:rsidRPr="00E5323E">
        <w:rPr>
          <w:rFonts w:ascii="Arial" w:hAnsi="Arial" w:cs="Arial"/>
          <w:b/>
          <w:bCs/>
          <w:lang w:val="en-CA"/>
        </w:rPr>
        <w:t xml:space="preserve"> in the deletion of pathogenic GAA </w:t>
      </w:r>
      <w:r w:rsidR="009A0C89" w:rsidRPr="00E5323E">
        <w:rPr>
          <w:rFonts w:ascii="Arial" w:hAnsi="Arial" w:cs="Arial"/>
          <w:b/>
          <w:bCs/>
          <w:lang w:val="en-CA"/>
        </w:rPr>
        <w:t xml:space="preserve">repeat </w:t>
      </w:r>
      <w:r w:rsidRPr="00E5323E">
        <w:rPr>
          <w:rFonts w:ascii="Arial" w:hAnsi="Arial" w:cs="Arial"/>
          <w:b/>
          <w:bCs/>
          <w:lang w:val="en-CA"/>
        </w:rPr>
        <w:t>in frataxin gene</w:t>
      </w:r>
    </w:p>
    <w:p w14:paraId="1BF134CD" w14:textId="14035412" w:rsidR="008A07C4" w:rsidRPr="00E5323E" w:rsidRDefault="008A07C4" w:rsidP="008A07C4">
      <w:pPr>
        <w:spacing w:after="0" w:line="240" w:lineRule="auto"/>
        <w:jc w:val="center"/>
        <w:rPr>
          <w:rFonts w:ascii="Arial" w:hAnsi="Arial" w:cs="Arial"/>
        </w:rPr>
      </w:pPr>
      <w:r w:rsidRPr="00E5323E">
        <w:rPr>
          <w:rFonts w:ascii="Arial" w:hAnsi="Arial" w:cs="Arial"/>
        </w:rPr>
        <w:t>Pouiré Yam</w:t>
      </w:r>
      <w:r w:rsidR="00E5323E">
        <w:rPr>
          <w:rFonts w:ascii="Arial" w:hAnsi="Arial" w:cs="Arial"/>
        </w:rPr>
        <w:t>é</w:t>
      </w:r>
      <w:r w:rsidRPr="00E5323E">
        <w:rPr>
          <w:rFonts w:ascii="Arial" w:hAnsi="Arial" w:cs="Arial"/>
        </w:rPr>
        <w:t>ogo</w:t>
      </w:r>
      <w:r w:rsidRPr="00E5323E">
        <w:rPr>
          <w:rFonts w:ascii="Arial" w:hAnsi="Arial" w:cs="Arial"/>
          <w:vertAlign w:val="superscript"/>
        </w:rPr>
        <w:t>1</w:t>
      </w:r>
      <w:r w:rsidRPr="00E5323E">
        <w:rPr>
          <w:rFonts w:ascii="Arial" w:hAnsi="Arial" w:cs="Arial"/>
        </w:rPr>
        <w:t>, Nathalie Majeau</w:t>
      </w:r>
      <w:r w:rsidRPr="00E5323E">
        <w:rPr>
          <w:rFonts w:ascii="Arial" w:hAnsi="Arial" w:cs="Arial"/>
          <w:vertAlign w:val="superscript"/>
        </w:rPr>
        <w:t>1</w:t>
      </w:r>
      <w:r w:rsidRPr="00E5323E">
        <w:rPr>
          <w:rFonts w:ascii="Arial" w:hAnsi="Arial" w:cs="Arial"/>
        </w:rPr>
        <w:t xml:space="preserve"> and Jacques P. Tremblay</w:t>
      </w:r>
      <w:r w:rsidRPr="00E5323E">
        <w:rPr>
          <w:rFonts w:ascii="Arial" w:hAnsi="Arial" w:cs="Arial"/>
          <w:vertAlign w:val="superscript"/>
        </w:rPr>
        <w:t>1</w:t>
      </w:r>
    </w:p>
    <w:p w14:paraId="0F836B13" w14:textId="77777777" w:rsidR="008A07C4" w:rsidRPr="0052695D" w:rsidRDefault="008A07C4" w:rsidP="008A07C4">
      <w:pPr>
        <w:spacing w:after="0"/>
        <w:jc w:val="center"/>
        <w:rPr>
          <w:rFonts w:ascii="Arial" w:hAnsi="Arial" w:cs="Arial"/>
          <w:sz w:val="6"/>
          <w:szCs w:val="6"/>
        </w:rPr>
      </w:pPr>
    </w:p>
    <w:p w14:paraId="4AD37616" w14:textId="1070BFE6" w:rsidR="008A07C4" w:rsidRPr="0052695D" w:rsidRDefault="008A07C4" w:rsidP="008A07C4">
      <w:pPr>
        <w:spacing w:after="0"/>
        <w:jc w:val="center"/>
        <w:rPr>
          <w:rFonts w:ascii="Arial" w:hAnsi="Arial" w:cs="Arial"/>
          <w:sz w:val="20"/>
          <w:szCs w:val="20"/>
        </w:rPr>
      </w:pPr>
      <w:r w:rsidRPr="00E5323E">
        <w:rPr>
          <w:rFonts w:ascii="Arial" w:hAnsi="Arial" w:cs="Arial"/>
          <w:vertAlign w:val="superscript"/>
        </w:rPr>
        <w:t>1</w:t>
      </w:r>
      <w:r w:rsidRPr="00E5323E">
        <w:rPr>
          <w:rFonts w:ascii="Arial" w:hAnsi="Arial" w:cs="Arial"/>
        </w:rPr>
        <w:t xml:space="preserve"> Centre de Recherche du Centre Hospitalier Universitaire de Québec and Département de Médecine Moléculaire, </w:t>
      </w:r>
      <w:r w:rsidRPr="0052695D">
        <w:rPr>
          <w:rFonts w:ascii="Arial" w:hAnsi="Arial" w:cs="Arial"/>
        </w:rPr>
        <w:t xml:space="preserve">Faculté de Médecine, Université Laval </w:t>
      </w:r>
    </w:p>
    <w:p w14:paraId="509EBA49" w14:textId="77777777" w:rsidR="008A07C4" w:rsidRPr="0052695D" w:rsidRDefault="008A07C4" w:rsidP="008A07C4">
      <w:pPr>
        <w:autoSpaceDE w:val="0"/>
        <w:autoSpaceDN w:val="0"/>
        <w:adjustRightInd w:val="0"/>
        <w:spacing w:after="0" w:line="240" w:lineRule="auto"/>
        <w:jc w:val="center"/>
        <w:rPr>
          <w:rFonts w:ascii="Arial" w:hAnsi="Arial" w:cs="Arial"/>
          <w:sz w:val="24"/>
          <w:szCs w:val="24"/>
        </w:rPr>
      </w:pPr>
    </w:p>
    <w:p w14:paraId="25AD4446" w14:textId="77777777" w:rsidR="00E5323E" w:rsidRPr="0052695D" w:rsidRDefault="00E5323E" w:rsidP="00D54597">
      <w:pPr>
        <w:autoSpaceDE w:val="0"/>
        <w:autoSpaceDN w:val="0"/>
        <w:adjustRightInd w:val="0"/>
        <w:spacing w:after="0" w:line="240" w:lineRule="auto"/>
        <w:jc w:val="both"/>
        <w:rPr>
          <w:rFonts w:ascii="Arial" w:hAnsi="Arial" w:cs="Arial"/>
        </w:rPr>
        <w:sectPr w:rsidR="00E5323E" w:rsidRPr="0052695D" w:rsidSect="00D46BFC">
          <w:pgSz w:w="12240" w:h="15840"/>
          <w:pgMar w:top="964" w:right="1361" w:bottom="964" w:left="1361" w:header="709" w:footer="709" w:gutter="0"/>
          <w:cols w:space="708"/>
          <w:docGrid w:linePitch="360"/>
        </w:sectPr>
      </w:pPr>
    </w:p>
    <w:p w14:paraId="5EF4C447" w14:textId="05A8540E" w:rsidR="00D54597" w:rsidRPr="00E5323E" w:rsidRDefault="00D54597" w:rsidP="00096BD9">
      <w:pPr>
        <w:autoSpaceDE w:val="0"/>
        <w:autoSpaceDN w:val="0"/>
        <w:adjustRightInd w:val="0"/>
        <w:spacing w:after="0" w:line="240" w:lineRule="auto"/>
        <w:jc w:val="both"/>
        <w:rPr>
          <w:rFonts w:ascii="Arial" w:hAnsi="Arial" w:cs="Arial"/>
          <w:lang w:val="en"/>
        </w:rPr>
      </w:pPr>
      <w:r w:rsidRPr="00E5323E">
        <w:rPr>
          <w:rFonts w:ascii="Arial" w:hAnsi="Arial" w:cs="Arial"/>
          <w:lang w:val="en"/>
        </w:rPr>
        <w:t>Most Friedrich Ataxia cases are caused by an insertion of a GAA repeat sequence (</w:t>
      </w:r>
      <w:proofErr w:type="spellStart"/>
      <w:r w:rsidRPr="00E5323E">
        <w:rPr>
          <w:rFonts w:ascii="Arial" w:hAnsi="Arial" w:cs="Arial"/>
          <w:lang w:val="en"/>
        </w:rPr>
        <w:t>GAAr</w:t>
      </w:r>
      <w:proofErr w:type="spellEnd"/>
      <w:r w:rsidRPr="00E5323E">
        <w:rPr>
          <w:rFonts w:ascii="Arial" w:hAnsi="Arial" w:cs="Arial"/>
          <w:lang w:val="en"/>
        </w:rPr>
        <w:t xml:space="preserve">) in the first intron of the frataxin gene leading to a decrease in protein expression. Deletion of this </w:t>
      </w:r>
      <w:proofErr w:type="spellStart"/>
      <w:r w:rsidRPr="00E5323E">
        <w:rPr>
          <w:rFonts w:ascii="Arial" w:hAnsi="Arial" w:cs="Arial"/>
          <w:lang w:val="en"/>
        </w:rPr>
        <w:t>GAAr</w:t>
      </w:r>
      <w:proofErr w:type="spellEnd"/>
      <w:r w:rsidRPr="00E5323E">
        <w:rPr>
          <w:rFonts w:ascii="Arial" w:hAnsi="Arial" w:cs="Arial"/>
          <w:lang w:val="en"/>
        </w:rPr>
        <w:t xml:space="preserve"> by CRISPR-Cas9 technology leads to an increase in frataxin expression. Due to the limited size of AAV packaging, </w:t>
      </w:r>
      <w:proofErr w:type="spellStart"/>
      <w:r w:rsidRPr="00E5323E">
        <w:rPr>
          <w:rFonts w:ascii="Arial" w:hAnsi="Arial" w:cs="Arial"/>
          <w:lang w:val="en"/>
        </w:rPr>
        <w:t>GAAr</w:t>
      </w:r>
      <w:proofErr w:type="spellEnd"/>
      <w:r w:rsidRPr="00E5323E">
        <w:rPr>
          <w:rFonts w:ascii="Arial" w:hAnsi="Arial" w:cs="Arial"/>
          <w:lang w:val="en"/>
        </w:rPr>
        <w:t xml:space="preserve"> removal by SpCas9 required two Adeno-associated viruses (AAVs). Using 2 AAVs reduces the efficiency of a potential treatment since each cell must be infected by both viruses. We have therefore used CjCas9 because </w:t>
      </w:r>
      <w:r w:rsidR="00466E48" w:rsidRPr="00E5323E">
        <w:rPr>
          <w:rFonts w:ascii="Arial" w:hAnsi="Arial" w:cs="Arial"/>
          <w:lang w:val="en"/>
        </w:rPr>
        <w:t>it</w:t>
      </w:r>
      <w:r w:rsidRPr="00E5323E">
        <w:rPr>
          <w:rFonts w:ascii="Arial" w:hAnsi="Arial" w:cs="Arial"/>
          <w:lang w:val="en"/>
        </w:rPr>
        <w:t xml:space="preserve"> is small enough to be delivered with two sgRNAs by a single AAV. However, a constitutive expression of the CjCas9 gene delivered by an AAV</w:t>
      </w:r>
      <w:r w:rsidRPr="00E5323E">
        <w:rPr>
          <w:rFonts w:ascii="Arial" w:hAnsi="Arial" w:cs="Arial"/>
          <w:i/>
          <w:lang w:val="en"/>
        </w:rPr>
        <w:t xml:space="preserve"> in vivo </w:t>
      </w:r>
      <w:r w:rsidRPr="00E5323E">
        <w:rPr>
          <w:rFonts w:ascii="Arial" w:hAnsi="Arial" w:cs="Arial"/>
          <w:lang w:val="en"/>
        </w:rPr>
        <w:t>may increase off-target mutations and induce an immune response against the Cas9 protein. Temporal expression</w:t>
      </w:r>
      <w:r w:rsidR="00BB7BE1" w:rsidRPr="00E5323E">
        <w:rPr>
          <w:rFonts w:ascii="Arial" w:hAnsi="Arial" w:cs="Arial"/>
          <w:lang w:val="en"/>
        </w:rPr>
        <w:t xml:space="preserve"> </w:t>
      </w:r>
      <w:r w:rsidRPr="00E5323E">
        <w:rPr>
          <w:rFonts w:ascii="Arial" w:hAnsi="Arial" w:cs="Arial"/>
          <w:lang w:val="en"/>
        </w:rPr>
        <w:t>is important for the CRISPR system. We investigated two approaches to limit the nuclease expression.</w:t>
      </w:r>
    </w:p>
    <w:p w14:paraId="584A2B07" w14:textId="38510CB1" w:rsidR="00D54597" w:rsidRPr="00E5323E" w:rsidRDefault="00D54597" w:rsidP="00D54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lang w:val="en"/>
        </w:rPr>
      </w:pPr>
      <w:r w:rsidRPr="00E5323E">
        <w:rPr>
          <w:rFonts w:ascii="Arial" w:hAnsi="Arial" w:cs="Arial"/>
          <w:lang w:val="en"/>
        </w:rPr>
        <w:t>First, molecular Hara Kiri, we simultaneously transfected in HeLa cells plasmids</w:t>
      </w:r>
      <w:r w:rsidR="00096BD9">
        <w:rPr>
          <w:rFonts w:ascii="Arial" w:hAnsi="Arial" w:cs="Arial"/>
          <w:lang w:val="en"/>
        </w:rPr>
        <w:t xml:space="preserve"> </w:t>
      </w:r>
      <w:r w:rsidRPr="00E5323E">
        <w:rPr>
          <w:rFonts w:ascii="Arial" w:hAnsi="Arial" w:cs="Arial"/>
          <w:lang w:val="en"/>
        </w:rPr>
        <w:t xml:space="preserve">encoding CjCas9, two guides (pre and post </w:t>
      </w:r>
      <w:proofErr w:type="spellStart"/>
      <w:r w:rsidRPr="00E5323E">
        <w:rPr>
          <w:rFonts w:ascii="Arial" w:hAnsi="Arial" w:cs="Arial"/>
          <w:lang w:val="en"/>
        </w:rPr>
        <w:t>GAAr</w:t>
      </w:r>
      <w:proofErr w:type="spellEnd"/>
      <w:r w:rsidRPr="00E5323E">
        <w:rPr>
          <w:rFonts w:ascii="Arial" w:hAnsi="Arial" w:cs="Arial"/>
          <w:lang w:val="en"/>
        </w:rPr>
        <w:t>) targeting the frataxin gene and two</w:t>
      </w:r>
      <w:r w:rsidR="003360E6">
        <w:rPr>
          <w:rFonts w:ascii="Arial" w:hAnsi="Arial" w:cs="Arial"/>
          <w:lang w:val="en"/>
        </w:rPr>
        <w:t xml:space="preserve"> </w:t>
      </w:r>
      <w:r w:rsidRPr="00E5323E">
        <w:rPr>
          <w:rFonts w:ascii="Arial" w:hAnsi="Arial" w:cs="Arial"/>
          <w:lang w:val="en"/>
        </w:rPr>
        <w:t>guides targeting the CjCas9 gene. Our results showed that despite the self-destruction of</w:t>
      </w:r>
      <w:r w:rsidR="003360E6">
        <w:rPr>
          <w:rFonts w:ascii="Arial" w:hAnsi="Arial" w:cs="Arial"/>
          <w:lang w:val="en"/>
        </w:rPr>
        <w:t xml:space="preserve"> </w:t>
      </w:r>
      <w:r w:rsidRPr="00E5323E">
        <w:rPr>
          <w:rFonts w:ascii="Arial" w:hAnsi="Arial" w:cs="Arial"/>
          <w:lang w:val="en"/>
        </w:rPr>
        <w:t xml:space="preserve">the CjCas9 gene, an effective genome editing of the FXN gene was obtained </w:t>
      </w:r>
      <w:r w:rsidRPr="00E5323E">
        <w:rPr>
          <w:rFonts w:ascii="Arial" w:hAnsi="Arial" w:cs="Arial"/>
          <w:i/>
          <w:lang w:val="en"/>
        </w:rPr>
        <w:t>in vitro</w:t>
      </w:r>
      <w:r w:rsidRPr="00E5323E">
        <w:rPr>
          <w:rFonts w:ascii="Arial" w:hAnsi="Arial" w:cs="Arial"/>
          <w:lang w:val="en"/>
        </w:rPr>
        <w:t>.</w:t>
      </w:r>
    </w:p>
    <w:p w14:paraId="035640F7" w14:textId="1860C55C" w:rsidR="008A07C4" w:rsidRPr="00E5323E" w:rsidRDefault="00D54597" w:rsidP="00E5323E">
      <w:pPr>
        <w:autoSpaceDE w:val="0"/>
        <w:autoSpaceDN w:val="0"/>
        <w:adjustRightInd w:val="0"/>
        <w:spacing w:after="0" w:line="240" w:lineRule="auto"/>
        <w:jc w:val="both"/>
        <w:rPr>
          <w:rFonts w:ascii="Arial" w:hAnsi="Arial" w:cs="Arial"/>
          <w:lang w:val="en"/>
        </w:rPr>
      </w:pPr>
      <w:r w:rsidRPr="00E5323E">
        <w:rPr>
          <w:rFonts w:ascii="Arial" w:hAnsi="Arial" w:cs="Arial"/>
          <w:lang w:val="en"/>
        </w:rPr>
        <w:t>Second, CRISPR-</w:t>
      </w:r>
      <w:proofErr w:type="spellStart"/>
      <w:r w:rsidRPr="00E5323E">
        <w:rPr>
          <w:rFonts w:ascii="Arial" w:hAnsi="Arial" w:cs="Arial"/>
          <w:lang w:val="en"/>
        </w:rPr>
        <w:t>SCReT</w:t>
      </w:r>
      <w:proofErr w:type="spellEnd"/>
      <w:r w:rsidRPr="00E5323E">
        <w:rPr>
          <w:rFonts w:ascii="Arial" w:hAnsi="Arial" w:cs="Arial"/>
          <w:lang w:val="en"/>
        </w:rPr>
        <w:t xml:space="preserve"> (Stop Codon Read Through), we inserted a stop codon (TGA) at the beginning of the CjCas9 gene to repress its expression. Subsequently, we induced the expression of Cas9 by molecules capable to allow translation despite the presence of the premature stop codon. This plasmid was transfected into 293T cells with two sgRNAs (pre and post </w:t>
      </w:r>
      <w:proofErr w:type="spellStart"/>
      <w:r w:rsidRPr="00E5323E">
        <w:rPr>
          <w:rFonts w:ascii="Arial" w:hAnsi="Arial" w:cs="Arial"/>
          <w:lang w:val="en"/>
        </w:rPr>
        <w:t>GAAr</w:t>
      </w:r>
      <w:proofErr w:type="spellEnd"/>
      <w:r w:rsidRPr="00E5323E">
        <w:rPr>
          <w:rFonts w:ascii="Arial" w:hAnsi="Arial" w:cs="Arial"/>
          <w:lang w:val="en"/>
        </w:rPr>
        <w:t xml:space="preserve">). We noted deletion of the </w:t>
      </w:r>
      <w:proofErr w:type="spellStart"/>
      <w:r w:rsidRPr="00E5323E">
        <w:rPr>
          <w:rFonts w:ascii="Arial" w:hAnsi="Arial" w:cs="Arial"/>
          <w:lang w:val="en"/>
        </w:rPr>
        <w:t>GAAr</w:t>
      </w:r>
      <w:proofErr w:type="spellEnd"/>
      <w:r w:rsidRPr="00E5323E">
        <w:rPr>
          <w:rFonts w:ascii="Arial" w:hAnsi="Arial" w:cs="Arial"/>
          <w:lang w:val="en"/>
        </w:rPr>
        <w:t xml:space="preserve"> only in cells treated with G418.</w:t>
      </w:r>
      <w:r w:rsidR="008A07C4" w:rsidRPr="00E5323E">
        <w:rPr>
          <w:rFonts w:ascii="Arial" w:hAnsi="Arial" w:cs="Arial"/>
          <w:lang w:val="en"/>
        </w:rPr>
        <w:t xml:space="preserve"> </w:t>
      </w:r>
    </w:p>
    <w:p w14:paraId="6889D08F" w14:textId="36E82813" w:rsidR="008A07C4" w:rsidRPr="00E5323E" w:rsidRDefault="008A07C4" w:rsidP="00096BD9">
      <w:pPr>
        <w:autoSpaceDE w:val="0"/>
        <w:autoSpaceDN w:val="0"/>
        <w:adjustRightInd w:val="0"/>
        <w:spacing w:after="0" w:line="240" w:lineRule="auto"/>
        <w:jc w:val="both"/>
        <w:rPr>
          <w:rFonts w:ascii="Arial" w:hAnsi="Arial" w:cs="Arial"/>
          <w:lang w:val="en"/>
        </w:rPr>
      </w:pPr>
      <w:r w:rsidRPr="00E5323E">
        <w:rPr>
          <w:rFonts w:ascii="Arial" w:hAnsi="Arial" w:cs="Arial"/>
          <w:lang w:val="en"/>
        </w:rPr>
        <w:t>These different methods permitted to obtain efficient editing of the frataxin gene while preventing a sustained Cas9 expression. This could reduce the chances of off-target mutations and immune reaction against Cas9 protein.</w:t>
      </w:r>
    </w:p>
    <w:p w14:paraId="3F03E4A9" w14:textId="3D604FA7" w:rsidR="008A07C4" w:rsidRPr="0032338F" w:rsidRDefault="00D46BFC" w:rsidP="00D54597">
      <w:pPr>
        <w:autoSpaceDE w:val="0"/>
        <w:autoSpaceDN w:val="0"/>
        <w:adjustRightInd w:val="0"/>
        <w:spacing w:line="240" w:lineRule="auto"/>
        <w:jc w:val="both"/>
        <w:rPr>
          <w:rFonts w:ascii="Arial" w:hAnsi="Arial" w:cs="Arial"/>
        </w:rPr>
      </w:pPr>
      <w:r w:rsidRPr="009A0C89">
        <w:rPr>
          <w:rFonts w:ascii="Arial" w:hAnsi="Arial" w:cs="Arial"/>
          <w:lang w:val="en-CA"/>
        </w:rPr>
        <w:t xml:space="preserve"> </w:t>
      </w:r>
      <w:r w:rsidR="0032338F">
        <w:rPr>
          <w:noProof/>
        </w:rPr>
        <w:drawing>
          <wp:inline distT="0" distB="0" distL="0" distR="0" wp14:anchorId="32DC8E7D" wp14:editId="417C79A0">
            <wp:extent cx="3204210" cy="1306132"/>
            <wp:effectExtent l="0" t="0" r="0" b="889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3268"/>
                    <a:stretch/>
                  </pic:blipFill>
                  <pic:spPr bwMode="auto">
                    <a:xfrm>
                      <a:off x="0" y="0"/>
                      <a:ext cx="3204210" cy="1306132"/>
                    </a:xfrm>
                    <a:prstGeom prst="rect">
                      <a:avLst/>
                    </a:prstGeom>
                    <a:noFill/>
                    <a:ln>
                      <a:noFill/>
                    </a:ln>
                    <a:extLst>
                      <a:ext uri="{53640926-AAD7-44D8-BBD7-CCE9431645EC}">
                        <a14:shadowObscured xmlns:a14="http://schemas.microsoft.com/office/drawing/2010/main"/>
                      </a:ext>
                    </a:extLst>
                  </pic:spPr>
                </pic:pic>
              </a:graphicData>
            </a:graphic>
          </wp:inline>
        </w:drawing>
      </w:r>
    </w:p>
    <w:p w14:paraId="1931FEE4" w14:textId="34178CA8" w:rsidR="008A07C4" w:rsidRDefault="008A07C4" w:rsidP="00D54597">
      <w:pPr>
        <w:autoSpaceDE w:val="0"/>
        <w:autoSpaceDN w:val="0"/>
        <w:adjustRightInd w:val="0"/>
        <w:spacing w:line="240" w:lineRule="auto"/>
        <w:jc w:val="both"/>
        <w:rPr>
          <w:rFonts w:ascii="Arial" w:hAnsi="Arial" w:cs="Arial"/>
          <w:lang w:val="en-CA"/>
        </w:rPr>
      </w:pPr>
      <w:r w:rsidRPr="00E5323E">
        <w:rPr>
          <w:rFonts w:ascii="Arial" w:hAnsi="Arial" w:cs="Arial"/>
          <w:b/>
          <w:bCs/>
          <w:lang w:val="en-CA"/>
        </w:rPr>
        <w:t>Figure 1:</w:t>
      </w:r>
      <w:r w:rsidRPr="00E5323E">
        <w:rPr>
          <w:rFonts w:ascii="Arial" w:hAnsi="Arial" w:cs="Arial"/>
          <w:lang w:val="en-CA"/>
        </w:rPr>
        <w:t xml:space="preserve"> Schematic representation of the human frataxin gene with guides used to delete the GAA repeat </w:t>
      </w:r>
      <w:r w:rsidR="00DA3178">
        <w:rPr>
          <w:rFonts w:ascii="Arial" w:hAnsi="Arial" w:cs="Arial"/>
          <w:lang w:val="en-CA"/>
        </w:rPr>
        <w:t>by CRIPR-Cas9</w:t>
      </w:r>
      <w:r w:rsidR="0096576B">
        <w:rPr>
          <w:rFonts w:ascii="Arial" w:hAnsi="Arial" w:cs="Arial"/>
          <w:lang w:val="en-CA"/>
        </w:rPr>
        <w:t xml:space="preserve"> technology</w:t>
      </w:r>
      <w:r w:rsidR="0039614E">
        <w:rPr>
          <w:rFonts w:ascii="Arial" w:hAnsi="Arial" w:cs="Arial"/>
          <w:lang w:val="en-CA"/>
        </w:rPr>
        <w:t>.</w:t>
      </w:r>
    </w:p>
    <w:p w14:paraId="09725628" w14:textId="733E3123" w:rsidR="00F64900" w:rsidRPr="00096BD9" w:rsidRDefault="00F64900" w:rsidP="00F64900">
      <w:pPr>
        <w:autoSpaceDE w:val="0"/>
        <w:autoSpaceDN w:val="0"/>
        <w:adjustRightInd w:val="0"/>
        <w:spacing w:after="0" w:line="240" w:lineRule="auto"/>
        <w:jc w:val="both"/>
        <w:rPr>
          <w:rFonts w:ascii="Arial" w:hAnsi="Arial" w:cs="Arial"/>
          <w:b/>
          <w:bCs/>
          <w:lang w:val="en"/>
        </w:rPr>
      </w:pPr>
      <w:r w:rsidRPr="00096BD9">
        <w:rPr>
          <w:rFonts w:ascii="Arial" w:hAnsi="Arial" w:cs="Arial"/>
          <w:b/>
          <w:bCs/>
          <w:lang w:val="en-CA"/>
        </w:rPr>
        <w:t>Publications</w:t>
      </w:r>
    </w:p>
    <w:p w14:paraId="6022FB28" w14:textId="0C7E2D6B" w:rsidR="00AD3D92" w:rsidRPr="003360E6" w:rsidRDefault="00AD3D92" w:rsidP="00E5323E">
      <w:pPr>
        <w:pStyle w:val="Paragraphedeliste"/>
        <w:numPr>
          <w:ilvl w:val="0"/>
          <w:numId w:val="1"/>
        </w:numPr>
        <w:autoSpaceDE w:val="0"/>
        <w:autoSpaceDN w:val="0"/>
        <w:adjustRightInd w:val="0"/>
        <w:spacing w:after="0" w:line="240" w:lineRule="auto"/>
        <w:jc w:val="both"/>
        <w:rPr>
          <w:rFonts w:ascii="Arial" w:hAnsi="Arial" w:cs="Arial"/>
          <w:sz w:val="21"/>
          <w:szCs w:val="21"/>
          <w:lang w:val="en"/>
        </w:rPr>
      </w:pPr>
      <w:proofErr w:type="spellStart"/>
      <w:r w:rsidRPr="003360E6">
        <w:rPr>
          <w:rFonts w:ascii="Arial" w:hAnsi="Arial" w:cs="Arial"/>
          <w:sz w:val="21"/>
          <w:szCs w:val="21"/>
          <w:lang w:val="en"/>
        </w:rPr>
        <w:t>Bonkoungou</w:t>
      </w:r>
      <w:proofErr w:type="spellEnd"/>
      <w:r w:rsidRPr="003360E6">
        <w:rPr>
          <w:rFonts w:ascii="Arial" w:hAnsi="Arial" w:cs="Arial"/>
          <w:sz w:val="21"/>
          <w:szCs w:val="21"/>
          <w:lang w:val="en"/>
        </w:rPr>
        <w:t xml:space="preserve"> IJO, </w:t>
      </w:r>
      <w:proofErr w:type="spellStart"/>
      <w:r w:rsidRPr="003360E6">
        <w:rPr>
          <w:rFonts w:ascii="Arial" w:hAnsi="Arial" w:cs="Arial"/>
          <w:sz w:val="21"/>
          <w:szCs w:val="21"/>
          <w:lang w:val="en"/>
        </w:rPr>
        <w:t>Ouédraogo</w:t>
      </w:r>
      <w:proofErr w:type="spellEnd"/>
      <w:r w:rsidRPr="003360E6">
        <w:rPr>
          <w:rFonts w:ascii="Arial" w:hAnsi="Arial" w:cs="Arial"/>
          <w:sz w:val="21"/>
          <w:szCs w:val="21"/>
          <w:lang w:val="en"/>
        </w:rPr>
        <w:t xml:space="preserve"> N, </w:t>
      </w:r>
      <w:proofErr w:type="spellStart"/>
      <w:r w:rsidRPr="003360E6">
        <w:rPr>
          <w:rFonts w:ascii="Arial" w:hAnsi="Arial" w:cs="Arial"/>
          <w:sz w:val="21"/>
          <w:szCs w:val="21"/>
          <w:lang w:val="en"/>
        </w:rPr>
        <w:t>Tamini</w:t>
      </w:r>
      <w:proofErr w:type="spellEnd"/>
      <w:r w:rsidRPr="003360E6">
        <w:rPr>
          <w:rFonts w:ascii="Arial" w:hAnsi="Arial" w:cs="Arial"/>
          <w:sz w:val="21"/>
          <w:szCs w:val="21"/>
          <w:lang w:val="en"/>
        </w:rPr>
        <w:t xml:space="preserve"> L, </w:t>
      </w:r>
      <w:proofErr w:type="spellStart"/>
      <w:r w:rsidRPr="003360E6">
        <w:rPr>
          <w:rFonts w:ascii="Arial" w:hAnsi="Arial" w:cs="Arial"/>
          <w:sz w:val="21"/>
          <w:szCs w:val="21"/>
          <w:lang w:val="en"/>
        </w:rPr>
        <w:t>TegueraRK</w:t>
      </w:r>
      <w:proofErr w:type="spellEnd"/>
      <w:r w:rsidRPr="003360E6">
        <w:rPr>
          <w:rFonts w:ascii="Arial" w:hAnsi="Arial" w:cs="Arial"/>
          <w:sz w:val="21"/>
          <w:szCs w:val="21"/>
          <w:lang w:val="en"/>
        </w:rPr>
        <w:t xml:space="preserve">, </w:t>
      </w:r>
      <w:proofErr w:type="spellStart"/>
      <w:r w:rsidRPr="003360E6">
        <w:rPr>
          <w:rFonts w:ascii="Arial" w:hAnsi="Arial" w:cs="Arial"/>
          <w:b/>
          <w:bCs/>
          <w:sz w:val="21"/>
          <w:szCs w:val="21"/>
          <w:lang w:val="en"/>
        </w:rPr>
        <w:t>Yaméogo</w:t>
      </w:r>
      <w:proofErr w:type="spellEnd"/>
      <w:r w:rsidRPr="003360E6">
        <w:rPr>
          <w:rFonts w:ascii="Arial" w:hAnsi="Arial" w:cs="Arial"/>
          <w:b/>
          <w:bCs/>
          <w:sz w:val="21"/>
          <w:szCs w:val="21"/>
          <w:lang w:val="en"/>
        </w:rPr>
        <w:t xml:space="preserve"> P</w:t>
      </w:r>
      <w:r w:rsidRPr="003360E6">
        <w:rPr>
          <w:rFonts w:ascii="Arial" w:hAnsi="Arial" w:cs="Arial"/>
          <w:sz w:val="21"/>
          <w:szCs w:val="21"/>
          <w:lang w:val="en"/>
        </w:rPr>
        <w:t xml:space="preserve">, </w:t>
      </w:r>
      <w:proofErr w:type="spellStart"/>
      <w:r w:rsidRPr="003360E6">
        <w:rPr>
          <w:rFonts w:ascii="Arial" w:hAnsi="Arial" w:cs="Arial"/>
          <w:sz w:val="21"/>
          <w:szCs w:val="21"/>
          <w:lang w:val="en"/>
        </w:rPr>
        <w:t>Drabo</w:t>
      </w:r>
      <w:proofErr w:type="spellEnd"/>
      <w:r w:rsidRPr="003360E6">
        <w:rPr>
          <w:rFonts w:ascii="Arial" w:hAnsi="Arial" w:cs="Arial"/>
          <w:sz w:val="21"/>
          <w:szCs w:val="21"/>
          <w:lang w:val="en"/>
        </w:rPr>
        <w:t xml:space="preserve"> MK, </w:t>
      </w:r>
      <w:proofErr w:type="spellStart"/>
      <w:r w:rsidRPr="003360E6">
        <w:rPr>
          <w:rFonts w:ascii="Arial" w:hAnsi="Arial" w:cs="Arial"/>
          <w:sz w:val="21"/>
          <w:szCs w:val="21"/>
          <w:lang w:val="en"/>
        </w:rPr>
        <w:t>Medah</w:t>
      </w:r>
      <w:proofErr w:type="spellEnd"/>
      <w:r w:rsidRPr="003360E6">
        <w:rPr>
          <w:rFonts w:ascii="Arial" w:hAnsi="Arial" w:cs="Arial"/>
          <w:sz w:val="21"/>
          <w:szCs w:val="21"/>
          <w:lang w:val="en"/>
        </w:rPr>
        <w:t xml:space="preserve"> I, Barro N, Sharma S, </w:t>
      </w:r>
      <w:proofErr w:type="spellStart"/>
      <w:r w:rsidRPr="003360E6">
        <w:rPr>
          <w:rFonts w:ascii="Arial" w:hAnsi="Arial" w:cs="Arial"/>
          <w:sz w:val="21"/>
          <w:szCs w:val="21"/>
          <w:lang w:val="en"/>
        </w:rPr>
        <w:t>Svensson</w:t>
      </w:r>
      <w:proofErr w:type="spellEnd"/>
      <w:r w:rsidRPr="003360E6">
        <w:rPr>
          <w:rFonts w:ascii="Arial" w:hAnsi="Arial" w:cs="Arial"/>
          <w:sz w:val="21"/>
          <w:szCs w:val="21"/>
          <w:lang w:val="en"/>
        </w:rPr>
        <w:t xml:space="preserve"> L, </w:t>
      </w:r>
      <w:proofErr w:type="spellStart"/>
      <w:r w:rsidRPr="003360E6">
        <w:rPr>
          <w:rFonts w:ascii="Arial" w:hAnsi="Arial" w:cs="Arial"/>
          <w:sz w:val="21"/>
          <w:szCs w:val="21"/>
          <w:lang w:val="en"/>
        </w:rPr>
        <w:t>Nordgren</w:t>
      </w:r>
      <w:proofErr w:type="spellEnd"/>
      <w:r w:rsidRPr="003360E6">
        <w:rPr>
          <w:rFonts w:ascii="Arial" w:hAnsi="Arial" w:cs="Arial"/>
          <w:sz w:val="21"/>
          <w:szCs w:val="21"/>
          <w:lang w:val="en"/>
        </w:rPr>
        <w:t xml:space="preserve"> J. (2018). </w:t>
      </w:r>
      <w:r w:rsidRPr="003360E6">
        <w:rPr>
          <w:rFonts w:ascii="Arial" w:hAnsi="Arial" w:cs="Arial"/>
          <w:sz w:val="21"/>
          <w:szCs w:val="21"/>
          <w:lang w:val="en-CA"/>
        </w:rPr>
        <w:t xml:space="preserve">Rotavirus and norovirus in children with severe diarrhea in Burkina Faso before rotavirus vaccine </w:t>
      </w:r>
      <w:proofErr w:type="spellStart"/>
      <w:proofErr w:type="gramStart"/>
      <w:r w:rsidRPr="003360E6">
        <w:rPr>
          <w:rFonts w:ascii="Arial" w:hAnsi="Arial" w:cs="Arial"/>
          <w:sz w:val="21"/>
          <w:szCs w:val="21"/>
          <w:lang w:val="en-CA"/>
        </w:rPr>
        <w:t>introduction.J</w:t>
      </w:r>
      <w:proofErr w:type="spellEnd"/>
      <w:proofErr w:type="gramEnd"/>
      <w:r w:rsidRPr="003360E6">
        <w:rPr>
          <w:rFonts w:ascii="Arial" w:hAnsi="Arial" w:cs="Arial"/>
          <w:sz w:val="21"/>
          <w:szCs w:val="21"/>
          <w:lang w:val="en-CA"/>
        </w:rPr>
        <w:t xml:space="preserve"> Med </w:t>
      </w:r>
      <w:proofErr w:type="spellStart"/>
      <w:r w:rsidRPr="003360E6">
        <w:rPr>
          <w:rFonts w:ascii="Arial" w:hAnsi="Arial" w:cs="Arial"/>
          <w:sz w:val="21"/>
          <w:szCs w:val="21"/>
          <w:lang w:val="en-CA"/>
        </w:rPr>
        <w:t>Virol</w:t>
      </w:r>
      <w:proofErr w:type="spellEnd"/>
      <w:r w:rsidRPr="003360E6">
        <w:rPr>
          <w:rFonts w:ascii="Arial" w:hAnsi="Arial" w:cs="Arial"/>
          <w:sz w:val="21"/>
          <w:szCs w:val="21"/>
          <w:lang w:val="en-CA"/>
        </w:rPr>
        <w:t>. 90(9): 1453-1460.</w:t>
      </w:r>
    </w:p>
    <w:p w14:paraId="390A1A67" w14:textId="69DBC438" w:rsidR="00AD3D92" w:rsidRPr="003360E6" w:rsidRDefault="00AD3D92" w:rsidP="00E5323E">
      <w:pPr>
        <w:pStyle w:val="Paragraphedeliste"/>
        <w:numPr>
          <w:ilvl w:val="0"/>
          <w:numId w:val="1"/>
        </w:numPr>
        <w:autoSpaceDE w:val="0"/>
        <w:autoSpaceDN w:val="0"/>
        <w:adjustRightInd w:val="0"/>
        <w:spacing w:line="240" w:lineRule="auto"/>
        <w:jc w:val="both"/>
        <w:rPr>
          <w:rFonts w:ascii="Arial" w:hAnsi="Arial" w:cs="Arial"/>
          <w:sz w:val="21"/>
          <w:szCs w:val="21"/>
          <w:lang w:val="en-CA"/>
        </w:rPr>
      </w:pPr>
      <w:r w:rsidRPr="003360E6">
        <w:rPr>
          <w:rFonts w:ascii="Arial" w:hAnsi="Arial" w:cs="Arial"/>
          <w:sz w:val="21"/>
          <w:szCs w:val="21"/>
          <w:lang w:val="en-CA"/>
        </w:rPr>
        <w:t xml:space="preserve">Yameogo N1, </w:t>
      </w:r>
      <w:proofErr w:type="spellStart"/>
      <w:r w:rsidRPr="003360E6">
        <w:rPr>
          <w:rFonts w:ascii="Arial" w:hAnsi="Arial" w:cs="Arial"/>
          <w:sz w:val="21"/>
          <w:szCs w:val="21"/>
          <w:lang w:val="en-CA"/>
        </w:rPr>
        <w:t>Bazie</w:t>
      </w:r>
      <w:proofErr w:type="spellEnd"/>
      <w:r w:rsidRPr="003360E6">
        <w:rPr>
          <w:rFonts w:ascii="Arial" w:hAnsi="Arial" w:cs="Arial"/>
          <w:sz w:val="21"/>
          <w:szCs w:val="21"/>
          <w:lang w:val="en-CA"/>
        </w:rPr>
        <w:t xml:space="preserve"> BVEJT, Ouattara AK1, </w:t>
      </w:r>
      <w:r w:rsidRPr="003360E6">
        <w:rPr>
          <w:rFonts w:ascii="Arial" w:hAnsi="Arial" w:cs="Arial"/>
          <w:b/>
          <w:bCs/>
          <w:sz w:val="21"/>
          <w:szCs w:val="21"/>
          <w:lang w:val="en-CA"/>
        </w:rPr>
        <w:t>Yameogo</w:t>
      </w:r>
      <w:r w:rsidR="00E5323E" w:rsidRPr="003360E6">
        <w:rPr>
          <w:rFonts w:ascii="Arial" w:hAnsi="Arial" w:cs="Arial"/>
          <w:b/>
          <w:bCs/>
          <w:sz w:val="21"/>
          <w:szCs w:val="21"/>
          <w:lang w:val="en-CA"/>
        </w:rPr>
        <w:t xml:space="preserve"> </w:t>
      </w:r>
      <w:r w:rsidRPr="003360E6">
        <w:rPr>
          <w:rFonts w:ascii="Arial" w:hAnsi="Arial" w:cs="Arial"/>
          <w:sz w:val="21"/>
          <w:szCs w:val="21"/>
          <w:lang w:val="en-CA"/>
        </w:rPr>
        <w:t xml:space="preserve">P, </w:t>
      </w:r>
      <w:proofErr w:type="spellStart"/>
      <w:r w:rsidRPr="003360E6">
        <w:rPr>
          <w:rFonts w:ascii="Arial" w:hAnsi="Arial" w:cs="Arial"/>
          <w:sz w:val="21"/>
          <w:szCs w:val="21"/>
          <w:lang w:val="en-CA"/>
        </w:rPr>
        <w:t>Compaore</w:t>
      </w:r>
      <w:proofErr w:type="spellEnd"/>
      <w:r w:rsidRPr="003360E6">
        <w:rPr>
          <w:rFonts w:ascii="Arial" w:hAnsi="Arial" w:cs="Arial"/>
          <w:sz w:val="21"/>
          <w:szCs w:val="21"/>
          <w:lang w:val="en-CA"/>
        </w:rPr>
        <w:t xml:space="preserve"> TR, </w:t>
      </w:r>
      <w:proofErr w:type="spellStart"/>
      <w:r w:rsidRPr="003360E6">
        <w:rPr>
          <w:rFonts w:ascii="Arial" w:hAnsi="Arial" w:cs="Arial"/>
          <w:sz w:val="21"/>
          <w:szCs w:val="21"/>
          <w:lang w:val="en-CA"/>
        </w:rPr>
        <w:t>Obiri</w:t>
      </w:r>
      <w:proofErr w:type="spellEnd"/>
      <w:r w:rsidRPr="003360E6">
        <w:rPr>
          <w:rFonts w:ascii="Arial" w:hAnsi="Arial" w:cs="Arial"/>
          <w:sz w:val="21"/>
          <w:szCs w:val="21"/>
          <w:lang w:val="en-CA"/>
        </w:rPr>
        <w:t xml:space="preserve">-Yeboah D, </w:t>
      </w:r>
      <w:proofErr w:type="spellStart"/>
      <w:r w:rsidRPr="003360E6">
        <w:rPr>
          <w:rFonts w:ascii="Arial" w:hAnsi="Arial" w:cs="Arial"/>
          <w:sz w:val="21"/>
          <w:szCs w:val="21"/>
          <w:lang w:val="en-CA"/>
        </w:rPr>
        <w:t>Djigma</w:t>
      </w:r>
      <w:proofErr w:type="spellEnd"/>
      <w:r w:rsidRPr="003360E6">
        <w:rPr>
          <w:rFonts w:ascii="Arial" w:hAnsi="Arial" w:cs="Arial"/>
          <w:sz w:val="21"/>
          <w:szCs w:val="21"/>
          <w:lang w:val="en-CA"/>
        </w:rPr>
        <w:t xml:space="preserve"> FW1, </w:t>
      </w:r>
      <w:proofErr w:type="spellStart"/>
      <w:r w:rsidRPr="003360E6">
        <w:rPr>
          <w:rFonts w:ascii="Arial" w:hAnsi="Arial" w:cs="Arial"/>
          <w:sz w:val="21"/>
          <w:szCs w:val="21"/>
          <w:lang w:val="en-CA"/>
        </w:rPr>
        <w:t>Karou</w:t>
      </w:r>
      <w:proofErr w:type="spellEnd"/>
      <w:r w:rsidRPr="003360E6">
        <w:rPr>
          <w:rFonts w:ascii="Arial" w:hAnsi="Arial" w:cs="Arial"/>
          <w:sz w:val="21"/>
          <w:szCs w:val="21"/>
          <w:lang w:val="en-CA"/>
        </w:rPr>
        <w:t xml:space="preserve"> SD, </w:t>
      </w:r>
      <w:proofErr w:type="spellStart"/>
      <w:r w:rsidRPr="003360E6">
        <w:rPr>
          <w:rFonts w:ascii="Arial" w:hAnsi="Arial" w:cs="Arial"/>
          <w:sz w:val="21"/>
          <w:szCs w:val="21"/>
          <w:lang w:val="en-CA"/>
        </w:rPr>
        <w:t>Simpore</w:t>
      </w:r>
      <w:proofErr w:type="spellEnd"/>
      <w:r w:rsidRPr="003360E6">
        <w:rPr>
          <w:rFonts w:ascii="Arial" w:hAnsi="Arial" w:cs="Arial"/>
          <w:sz w:val="21"/>
          <w:szCs w:val="21"/>
          <w:lang w:val="en-CA"/>
        </w:rPr>
        <w:t xml:space="preserve"> J. (2017). Major Polymorphisms of Genes Involved in Homocysteine Metabolism in Malaria Patients in Ouagadougou, Burkina </w:t>
      </w:r>
      <w:proofErr w:type="spellStart"/>
      <w:r w:rsidRPr="003360E6">
        <w:rPr>
          <w:rFonts w:ascii="Arial" w:hAnsi="Arial" w:cs="Arial"/>
          <w:sz w:val="21"/>
          <w:szCs w:val="21"/>
          <w:lang w:val="en-CA"/>
        </w:rPr>
        <w:t>Faso.Malar</w:t>
      </w:r>
      <w:proofErr w:type="spellEnd"/>
      <w:r w:rsidRPr="003360E6">
        <w:rPr>
          <w:rFonts w:ascii="Arial" w:hAnsi="Arial" w:cs="Arial"/>
          <w:sz w:val="21"/>
          <w:szCs w:val="21"/>
          <w:lang w:val="en-CA"/>
        </w:rPr>
        <w:t xml:space="preserve"> Res Treat.</w:t>
      </w:r>
    </w:p>
    <w:p w14:paraId="53A3B855" w14:textId="457121FE" w:rsidR="00AD3D92" w:rsidRPr="003360E6" w:rsidRDefault="00AD3D92" w:rsidP="00E5323E">
      <w:pPr>
        <w:pStyle w:val="Paragraphedeliste"/>
        <w:numPr>
          <w:ilvl w:val="0"/>
          <w:numId w:val="1"/>
        </w:numPr>
        <w:autoSpaceDE w:val="0"/>
        <w:autoSpaceDN w:val="0"/>
        <w:adjustRightInd w:val="0"/>
        <w:spacing w:line="240" w:lineRule="auto"/>
        <w:jc w:val="both"/>
        <w:rPr>
          <w:rFonts w:ascii="Arial" w:hAnsi="Arial" w:cs="Arial"/>
          <w:sz w:val="21"/>
          <w:szCs w:val="21"/>
          <w:lang w:val="en-CA"/>
        </w:rPr>
      </w:pPr>
      <w:proofErr w:type="spellStart"/>
      <w:r w:rsidRPr="003360E6">
        <w:rPr>
          <w:rFonts w:ascii="Arial" w:hAnsi="Arial" w:cs="Arial"/>
          <w:sz w:val="21"/>
          <w:szCs w:val="21"/>
          <w:lang w:val="en-CA"/>
        </w:rPr>
        <w:t>Abdoul</w:t>
      </w:r>
      <w:proofErr w:type="spellEnd"/>
      <w:r w:rsidRPr="003360E6">
        <w:rPr>
          <w:rFonts w:ascii="Arial" w:hAnsi="Arial" w:cs="Arial"/>
          <w:sz w:val="21"/>
          <w:szCs w:val="21"/>
          <w:lang w:val="en-CA"/>
        </w:rPr>
        <w:t xml:space="preserve"> Karim Ouattara, </w:t>
      </w:r>
      <w:r w:rsidRPr="003360E6">
        <w:rPr>
          <w:rFonts w:ascii="Arial" w:hAnsi="Arial" w:cs="Arial"/>
          <w:b/>
          <w:bCs/>
          <w:sz w:val="21"/>
          <w:szCs w:val="21"/>
          <w:lang w:val="en-CA"/>
        </w:rPr>
        <w:t>Pouiré Yameogo</w:t>
      </w:r>
      <w:r w:rsidRPr="003360E6">
        <w:rPr>
          <w:rFonts w:ascii="Arial" w:hAnsi="Arial" w:cs="Arial"/>
          <w:sz w:val="21"/>
          <w:szCs w:val="21"/>
          <w:lang w:val="en-CA"/>
        </w:rPr>
        <w:t xml:space="preserve">, </w:t>
      </w:r>
      <w:proofErr w:type="spellStart"/>
      <w:r w:rsidRPr="003360E6">
        <w:rPr>
          <w:rFonts w:ascii="Arial" w:hAnsi="Arial" w:cs="Arial"/>
          <w:sz w:val="21"/>
          <w:szCs w:val="21"/>
          <w:lang w:val="en-CA"/>
        </w:rPr>
        <w:t>Lassina</w:t>
      </w:r>
      <w:proofErr w:type="spellEnd"/>
      <w:r w:rsidRPr="003360E6">
        <w:rPr>
          <w:rFonts w:ascii="Arial" w:hAnsi="Arial" w:cs="Arial"/>
          <w:sz w:val="21"/>
          <w:szCs w:val="21"/>
          <w:lang w:val="en-CA"/>
        </w:rPr>
        <w:t xml:space="preserve"> Traore, </w:t>
      </w:r>
      <w:proofErr w:type="spellStart"/>
      <w:r w:rsidRPr="003360E6">
        <w:rPr>
          <w:rFonts w:ascii="Arial" w:hAnsi="Arial" w:cs="Arial"/>
          <w:sz w:val="21"/>
          <w:szCs w:val="21"/>
          <w:lang w:val="en-CA"/>
        </w:rPr>
        <w:t>Birama</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lang w:val="en-CA"/>
        </w:rPr>
        <w:t>Diarra</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lang w:val="en-CA"/>
        </w:rPr>
        <w:t>Maléki</w:t>
      </w:r>
      <w:proofErr w:type="spellEnd"/>
      <w:r w:rsidRPr="003360E6">
        <w:rPr>
          <w:rFonts w:ascii="Arial" w:hAnsi="Arial" w:cs="Arial"/>
          <w:sz w:val="21"/>
          <w:szCs w:val="21"/>
          <w:lang w:val="en-CA"/>
        </w:rPr>
        <w:t xml:space="preserve"> Assih1, </w:t>
      </w:r>
      <w:proofErr w:type="spellStart"/>
      <w:r w:rsidRPr="003360E6">
        <w:rPr>
          <w:rFonts w:ascii="Arial" w:hAnsi="Arial" w:cs="Arial"/>
          <w:sz w:val="21"/>
          <w:szCs w:val="21"/>
          <w:lang w:val="en-CA"/>
        </w:rPr>
        <w:t>Tegwindé</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lang w:val="en-CA"/>
        </w:rPr>
        <w:t>Rébéca</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lang w:val="en-CA"/>
        </w:rPr>
        <w:t>Compaore</w:t>
      </w:r>
      <w:proofErr w:type="spellEnd"/>
      <w:r w:rsidRPr="003360E6">
        <w:rPr>
          <w:rFonts w:ascii="Arial" w:hAnsi="Arial" w:cs="Arial"/>
          <w:sz w:val="21"/>
          <w:szCs w:val="21"/>
          <w:lang w:val="en-CA"/>
        </w:rPr>
        <w:t xml:space="preserve">, Dorcas </w:t>
      </w:r>
      <w:proofErr w:type="spellStart"/>
      <w:r w:rsidRPr="003360E6">
        <w:rPr>
          <w:rFonts w:ascii="Arial" w:hAnsi="Arial" w:cs="Arial"/>
          <w:sz w:val="21"/>
          <w:szCs w:val="21"/>
          <w:lang w:val="en-CA"/>
        </w:rPr>
        <w:t>Obiri-yeboah</w:t>
      </w:r>
      <w:proofErr w:type="spellEnd"/>
      <w:r w:rsidRPr="003360E6">
        <w:rPr>
          <w:rFonts w:ascii="Arial" w:hAnsi="Arial" w:cs="Arial"/>
          <w:sz w:val="21"/>
          <w:szCs w:val="21"/>
          <w:lang w:val="en-CA"/>
        </w:rPr>
        <w:t xml:space="preserve">, Serge </w:t>
      </w:r>
      <w:proofErr w:type="spellStart"/>
      <w:r w:rsidRPr="003360E6">
        <w:rPr>
          <w:rFonts w:ascii="Arial" w:hAnsi="Arial" w:cs="Arial"/>
          <w:sz w:val="21"/>
          <w:szCs w:val="21"/>
          <w:lang w:val="en-CA"/>
        </w:rPr>
        <w:t>Théophile</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lang w:val="en-CA"/>
        </w:rPr>
        <w:t>Soubeiga</w:t>
      </w:r>
      <w:proofErr w:type="spellEnd"/>
      <w:r w:rsidRPr="003360E6">
        <w:rPr>
          <w:rFonts w:ascii="Arial" w:hAnsi="Arial" w:cs="Arial"/>
          <w:sz w:val="21"/>
          <w:szCs w:val="21"/>
          <w:lang w:val="en-CA"/>
        </w:rPr>
        <w:t xml:space="preserve">, Florencia </w:t>
      </w:r>
      <w:proofErr w:type="spellStart"/>
      <w:r w:rsidRPr="003360E6">
        <w:rPr>
          <w:rFonts w:ascii="Arial" w:hAnsi="Arial" w:cs="Arial"/>
          <w:sz w:val="21"/>
          <w:szCs w:val="21"/>
          <w:lang w:val="en-CA"/>
        </w:rPr>
        <w:t>Wendkuuni</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lang w:val="en-CA"/>
        </w:rPr>
        <w:t>Djigma</w:t>
      </w:r>
      <w:proofErr w:type="spellEnd"/>
      <w:r w:rsidRPr="003360E6">
        <w:rPr>
          <w:rFonts w:ascii="Arial" w:hAnsi="Arial" w:cs="Arial"/>
          <w:sz w:val="21"/>
          <w:szCs w:val="21"/>
          <w:lang w:val="en-CA"/>
        </w:rPr>
        <w:t xml:space="preserve"> and Jacques </w:t>
      </w:r>
      <w:proofErr w:type="spellStart"/>
      <w:r w:rsidRPr="003360E6">
        <w:rPr>
          <w:rFonts w:ascii="Arial" w:hAnsi="Arial" w:cs="Arial"/>
          <w:sz w:val="21"/>
          <w:szCs w:val="21"/>
          <w:lang w:val="en-CA"/>
        </w:rPr>
        <w:t>Simpore</w:t>
      </w:r>
      <w:proofErr w:type="spellEnd"/>
      <w:r w:rsidRPr="003360E6">
        <w:rPr>
          <w:rFonts w:ascii="Arial" w:hAnsi="Arial" w:cs="Arial"/>
          <w:sz w:val="21"/>
          <w:szCs w:val="21"/>
          <w:lang w:val="en-CA"/>
        </w:rPr>
        <w:t xml:space="preserve">. (2017). Prevalence, genetic </w:t>
      </w:r>
      <w:proofErr w:type="gramStart"/>
      <w:r w:rsidRPr="003360E6">
        <w:rPr>
          <w:rFonts w:ascii="Arial" w:hAnsi="Arial" w:cs="Arial"/>
          <w:sz w:val="21"/>
          <w:szCs w:val="21"/>
          <w:lang w:val="en-CA"/>
        </w:rPr>
        <w:t>variants</w:t>
      </w:r>
      <w:proofErr w:type="gramEnd"/>
      <w:r w:rsidRPr="003360E6">
        <w:rPr>
          <w:rFonts w:ascii="Arial" w:hAnsi="Arial" w:cs="Arial"/>
          <w:sz w:val="21"/>
          <w:szCs w:val="21"/>
          <w:lang w:val="en-CA"/>
        </w:rPr>
        <w:t xml:space="preserve"> and clinical implications of G-6-PD deficiency in Burkina Faso: a systematic </w:t>
      </w:r>
      <w:proofErr w:type="spellStart"/>
      <w:r w:rsidRPr="003360E6">
        <w:rPr>
          <w:rFonts w:ascii="Arial" w:hAnsi="Arial" w:cs="Arial"/>
          <w:sz w:val="21"/>
          <w:szCs w:val="21"/>
          <w:lang w:val="en-CA"/>
        </w:rPr>
        <w:t>review.BMC</w:t>
      </w:r>
      <w:proofErr w:type="spellEnd"/>
      <w:r w:rsidRPr="003360E6">
        <w:rPr>
          <w:rFonts w:ascii="Arial" w:hAnsi="Arial" w:cs="Arial"/>
          <w:sz w:val="21"/>
          <w:szCs w:val="21"/>
          <w:lang w:val="en-CA"/>
        </w:rPr>
        <w:t xml:space="preserve"> Medical Genetics. 18(139): 1-8.</w:t>
      </w:r>
    </w:p>
    <w:p w14:paraId="4AE389B1" w14:textId="6021143D" w:rsidR="00AD3D92" w:rsidRPr="003360E6" w:rsidRDefault="00AD3D92" w:rsidP="00E5323E">
      <w:pPr>
        <w:pStyle w:val="Paragraphedeliste"/>
        <w:numPr>
          <w:ilvl w:val="0"/>
          <w:numId w:val="1"/>
        </w:numPr>
        <w:autoSpaceDE w:val="0"/>
        <w:autoSpaceDN w:val="0"/>
        <w:adjustRightInd w:val="0"/>
        <w:spacing w:after="0" w:line="240" w:lineRule="auto"/>
        <w:jc w:val="both"/>
        <w:rPr>
          <w:rFonts w:ascii="Arial" w:hAnsi="Arial" w:cs="Arial"/>
          <w:sz w:val="21"/>
          <w:szCs w:val="21"/>
        </w:rPr>
      </w:pPr>
      <w:r w:rsidRPr="003360E6">
        <w:rPr>
          <w:rFonts w:ascii="Arial" w:hAnsi="Arial" w:cs="Arial"/>
          <w:sz w:val="21"/>
          <w:szCs w:val="21"/>
          <w:lang w:val="en-CA"/>
        </w:rPr>
        <w:t xml:space="preserve">Ouattara A.K., </w:t>
      </w:r>
      <w:r w:rsidRPr="003360E6">
        <w:rPr>
          <w:rFonts w:ascii="Arial" w:hAnsi="Arial" w:cs="Arial"/>
          <w:b/>
          <w:bCs/>
          <w:sz w:val="21"/>
          <w:szCs w:val="21"/>
          <w:lang w:val="en-CA"/>
        </w:rPr>
        <w:t>Yameogo P</w:t>
      </w:r>
      <w:r w:rsidRPr="003360E6">
        <w:rPr>
          <w:rFonts w:ascii="Arial" w:hAnsi="Arial" w:cs="Arial"/>
          <w:sz w:val="21"/>
          <w:szCs w:val="21"/>
          <w:lang w:val="en-CA"/>
        </w:rPr>
        <w:t xml:space="preserve">., </w:t>
      </w:r>
      <w:proofErr w:type="spellStart"/>
      <w:r w:rsidRPr="003360E6">
        <w:rPr>
          <w:rFonts w:ascii="Arial" w:hAnsi="Arial" w:cs="Arial"/>
          <w:sz w:val="21"/>
          <w:szCs w:val="21"/>
          <w:lang w:val="en-CA"/>
        </w:rPr>
        <w:t>Diarra</w:t>
      </w:r>
      <w:proofErr w:type="spellEnd"/>
      <w:r w:rsidRPr="003360E6">
        <w:rPr>
          <w:rFonts w:ascii="Arial" w:hAnsi="Arial" w:cs="Arial"/>
          <w:sz w:val="21"/>
          <w:szCs w:val="21"/>
          <w:lang w:val="en-CA"/>
        </w:rPr>
        <w:t xml:space="preserve"> B., </w:t>
      </w:r>
      <w:proofErr w:type="spellStart"/>
      <w:r w:rsidRPr="003360E6">
        <w:rPr>
          <w:rFonts w:ascii="Arial" w:hAnsi="Arial" w:cs="Arial"/>
          <w:sz w:val="21"/>
          <w:szCs w:val="21"/>
          <w:lang w:val="en-CA"/>
        </w:rPr>
        <w:t>Obiri</w:t>
      </w:r>
      <w:proofErr w:type="spellEnd"/>
      <w:r w:rsidRPr="003360E6">
        <w:rPr>
          <w:rFonts w:ascii="Arial" w:hAnsi="Arial" w:cs="Arial"/>
          <w:sz w:val="21"/>
          <w:szCs w:val="21"/>
          <w:lang w:val="en-CA"/>
        </w:rPr>
        <w:t xml:space="preserve">-Yeboah D., </w:t>
      </w:r>
      <w:proofErr w:type="spellStart"/>
      <w:r w:rsidRPr="003360E6">
        <w:rPr>
          <w:rFonts w:ascii="Arial" w:hAnsi="Arial" w:cs="Arial"/>
          <w:sz w:val="21"/>
          <w:szCs w:val="21"/>
          <w:lang w:val="en-CA"/>
        </w:rPr>
        <w:t>Yonli</w:t>
      </w:r>
      <w:proofErr w:type="spellEnd"/>
      <w:r w:rsidRPr="003360E6">
        <w:rPr>
          <w:rFonts w:ascii="Arial" w:hAnsi="Arial" w:cs="Arial"/>
          <w:sz w:val="21"/>
          <w:szCs w:val="21"/>
          <w:lang w:val="en-CA"/>
        </w:rPr>
        <w:t xml:space="preserve"> A., </w:t>
      </w:r>
      <w:proofErr w:type="spellStart"/>
      <w:r w:rsidRPr="003360E6">
        <w:rPr>
          <w:rFonts w:ascii="Arial" w:hAnsi="Arial" w:cs="Arial"/>
          <w:sz w:val="21"/>
          <w:szCs w:val="21"/>
          <w:lang w:val="en-CA"/>
        </w:rPr>
        <w:t>Compaore</w:t>
      </w:r>
      <w:proofErr w:type="spellEnd"/>
      <w:r w:rsidRPr="003360E6">
        <w:rPr>
          <w:rFonts w:ascii="Arial" w:hAnsi="Arial" w:cs="Arial"/>
          <w:sz w:val="21"/>
          <w:szCs w:val="21"/>
          <w:lang w:val="en-CA"/>
        </w:rPr>
        <w:t xml:space="preserve"> T.R., </w:t>
      </w:r>
      <w:proofErr w:type="spellStart"/>
      <w:r w:rsidRPr="003360E6">
        <w:rPr>
          <w:rFonts w:ascii="Arial" w:hAnsi="Arial" w:cs="Arial"/>
          <w:sz w:val="21"/>
          <w:szCs w:val="21"/>
          <w:lang w:val="en-CA"/>
        </w:rPr>
        <w:t>Soubeiga</w:t>
      </w:r>
      <w:proofErr w:type="spellEnd"/>
      <w:r w:rsidRPr="003360E6">
        <w:rPr>
          <w:rFonts w:ascii="Arial" w:hAnsi="Arial" w:cs="Arial"/>
          <w:sz w:val="21"/>
          <w:szCs w:val="21"/>
          <w:lang w:val="en-CA"/>
        </w:rPr>
        <w:t xml:space="preserve"> S.T., </w:t>
      </w:r>
      <w:proofErr w:type="spellStart"/>
      <w:r w:rsidRPr="003360E6">
        <w:rPr>
          <w:rFonts w:ascii="Arial" w:hAnsi="Arial" w:cs="Arial"/>
          <w:sz w:val="21"/>
          <w:szCs w:val="21"/>
          <w:lang w:val="en-CA"/>
        </w:rPr>
        <w:t>Djigma</w:t>
      </w:r>
      <w:proofErr w:type="spellEnd"/>
      <w:r w:rsidRPr="003360E6">
        <w:rPr>
          <w:rFonts w:ascii="Arial" w:hAnsi="Arial" w:cs="Arial"/>
          <w:sz w:val="21"/>
          <w:szCs w:val="21"/>
          <w:lang w:val="en-CA"/>
        </w:rPr>
        <w:t xml:space="preserve"> F.W., </w:t>
      </w:r>
      <w:proofErr w:type="spellStart"/>
      <w:r w:rsidRPr="003360E6">
        <w:rPr>
          <w:rFonts w:ascii="Arial" w:hAnsi="Arial" w:cs="Arial"/>
          <w:sz w:val="21"/>
          <w:szCs w:val="21"/>
          <w:lang w:val="en-CA"/>
        </w:rPr>
        <w:t>Simpore</w:t>
      </w:r>
      <w:proofErr w:type="spellEnd"/>
      <w:r w:rsidRPr="003360E6">
        <w:rPr>
          <w:rFonts w:ascii="Arial" w:hAnsi="Arial" w:cs="Arial"/>
          <w:sz w:val="21"/>
          <w:szCs w:val="21"/>
          <w:lang w:val="en-CA"/>
        </w:rPr>
        <w:t xml:space="preserve"> J. (2016). Molecular heterogeneity of glucose-6-phosphate dehydrogenase deficiency in Burkina Faso: g-6-pd </w:t>
      </w:r>
      <w:proofErr w:type="spellStart"/>
      <w:r w:rsidRPr="003360E6">
        <w:rPr>
          <w:rFonts w:ascii="Arial" w:hAnsi="Arial" w:cs="Arial"/>
          <w:sz w:val="21"/>
          <w:szCs w:val="21"/>
          <w:lang w:val="en-CA"/>
        </w:rPr>
        <w:t>betica</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lang w:val="en-CA"/>
        </w:rPr>
        <w:t>selma</w:t>
      </w:r>
      <w:proofErr w:type="spellEnd"/>
      <w:r w:rsidRPr="003360E6">
        <w:rPr>
          <w:rFonts w:ascii="Arial" w:hAnsi="Arial" w:cs="Arial"/>
          <w:sz w:val="21"/>
          <w:szCs w:val="21"/>
          <w:lang w:val="en-CA"/>
        </w:rPr>
        <w:t xml:space="preserve"> and </w:t>
      </w:r>
      <w:proofErr w:type="spellStart"/>
      <w:r w:rsidRPr="003360E6">
        <w:rPr>
          <w:rFonts w:ascii="Arial" w:hAnsi="Arial" w:cs="Arial"/>
          <w:sz w:val="21"/>
          <w:szCs w:val="21"/>
          <w:lang w:val="en-CA"/>
        </w:rPr>
        <w:t>santamaria</w:t>
      </w:r>
      <w:proofErr w:type="spellEnd"/>
      <w:r w:rsidRPr="003360E6">
        <w:rPr>
          <w:rFonts w:ascii="Arial" w:hAnsi="Arial" w:cs="Arial"/>
          <w:sz w:val="21"/>
          <w:szCs w:val="21"/>
          <w:lang w:val="en-CA"/>
        </w:rPr>
        <w:t xml:space="preserve"> in people with symptomatic malaria in </w:t>
      </w:r>
      <w:proofErr w:type="spellStart"/>
      <w:r w:rsidRPr="003360E6">
        <w:rPr>
          <w:rFonts w:ascii="Arial" w:hAnsi="Arial" w:cs="Arial"/>
          <w:sz w:val="21"/>
          <w:szCs w:val="21"/>
          <w:lang w:val="en-CA"/>
        </w:rPr>
        <w:t>ouagadougou</w:t>
      </w:r>
      <w:proofErr w:type="spellEnd"/>
      <w:r w:rsidRPr="003360E6">
        <w:rPr>
          <w:rFonts w:ascii="Arial" w:hAnsi="Arial" w:cs="Arial"/>
          <w:sz w:val="21"/>
          <w:szCs w:val="21"/>
          <w:lang w:val="en-CA"/>
        </w:rPr>
        <w:t xml:space="preserve">. </w:t>
      </w:r>
      <w:proofErr w:type="spellStart"/>
      <w:r w:rsidRPr="003360E6">
        <w:rPr>
          <w:rFonts w:ascii="Arial" w:hAnsi="Arial" w:cs="Arial"/>
          <w:sz w:val="21"/>
          <w:szCs w:val="21"/>
        </w:rPr>
        <w:t>Mediterr</w:t>
      </w:r>
      <w:proofErr w:type="spellEnd"/>
      <w:r w:rsidRPr="003360E6">
        <w:rPr>
          <w:rFonts w:ascii="Arial" w:hAnsi="Arial" w:cs="Arial"/>
          <w:sz w:val="21"/>
          <w:szCs w:val="21"/>
        </w:rPr>
        <w:t xml:space="preserve"> J </w:t>
      </w:r>
      <w:proofErr w:type="spellStart"/>
      <w:r w:rsidRPr="003360E6">
        <w:rPr>
          <w:rFonts w:ascii="Arial" w:hAnsi="Arial" w:cs="Arial"/>
          <w:sz w:val="21"/>
          <w:szCs w:val="21"/>
        </w:rPr>
        <w:t>Hematol</w:t>
      </w:r>
      <w:proofErr w:type="spellEnd"/>
      <w:r w:rsidRPr="003360E6">
        <w:rPr>
          <w:rFonts w:ascii="Arial" w:hAnsi="Arial" w:cs="Arial"/>
          <w:sz w:val="21"/>
          <w:szCs w:val="21"/>
        </w:rPr>
        <w:t xml:space="preserve"> Infect Dis. 8</w:t>
      </w:r>
    </w:p>
    <w:p w14:paraId="25B747DF" w14:textId="77777777" w:rsidR="00E5323E" w:rsidRDefault="00E5323E" w:rsidP="00D54597">
      <w:pPr>
        <w:pBdr>
          <w:bottom w:val="single" w:sz="6" w:space="1" w:color="auto"/>
        </w:pBdr>
        <w:autoSpaceDE w:val="0"/>
        <w:autoSpaceDN w:val="0"/>
        <w:adjustRightInd w:val="0"/>
        <w:spacing w:line="240" w:lineRule="auto"/>
        <w:jc w:val="both"/>
        <w:rPr>
          <w:rFonts w:ascii="Arial" w:hAnsi="Arial" w:cs="Arial"/>
          <w:sz w:val="24"/>
          <w:szCs w:val="24"/>
          <w:lang w:val="en-CA"/>
        </w:rPr>
        <w:sectPr w:rsidR="00E5323E" w:rsidSect="00E5323E">
          <w:type w:val="continuous"/>
          <w:pgSz w:w="12240" w:h="15840"/>
          <w:pgMar w:top="680" w:right="720" w:bottom="680" w:left="720" w:header="709" w:footer="709" w:gutter="0"/>
          <w:cols w:num="2" w:space="708"/>
          <w:docGrid w:linePitch="360"/>
        </w:sectPr>
      </w:pPr>
    </w:p>
    <w:p w14:paraId="5800EC5E" w14:textId="05057450" w:rsidR="00D46BFC" w:rsidRDefault="00D46BFC" w:rsidP="00D46BFC">
      <w:pPr>
        <w:spacing w:after="0"/>
        <w:jc w:val="both"/>
        <w:rPr>
          <w:rFonts w:ascii="Arial" w:hAnsi="Arial" w:cs="Arial"/>
          <w:b/>
          <w:bCs/>
          <w:lang w:val="en"/>
        </w:rPr>
      </w:pPr>
    </w:p>
    <w:p w14:paraId="2918D224" w14:textId="32D361BA" w:rsidR="008A07C4" w:rsidRPr="003360E6" w:rsidRDefault="0039614E" w:rsidP="00C26165">
      <w:pPr>
        <w:pBdr>
          <w:top w:val="single" w:sz="24" w:space="1" w:color="1F3864" w:themeColor="accent1" w:themeShade="80"/>
        </w:pBdr>
        <w:spacing w:after="0"/>
        <w:jc w:val="both"/>
        <w:rPr>
          <w:rFonts w:ascii="Arial" w:hAnsi="Arial" w:cs="Arial"/>
          <w:sz w:val="21"/>
          <w:szCs w:val="21"/>
          <w:lang w:val="en"/>
        </w:rPr>
      </w:pPr>
      <w:r>
        <w:rPr>
          <w:rFonts w:ascii="Arial" w:hAnsi="Arial" w:cs="Arial"/>
          <w:b/>
          <w:bCs/>
          <w:noProof/>
          <w:lang w:val="en"/>
        </w:rPr>
        <w:drawing>
          <wp:anchor distT="0" distB="0" distL="114300" distR="114300" simplePos="0" relativeHeight="251659264" behindDoc="0" locked="0" layoutInCell="1" allowOverlap="1" wp14:anchorId="7258FB6D" wp14:editId="48CC7878">
            <wp:simplePos x="0" y="0"/>
            <wp:positionH relativeFrom="column">
              <wp:posOffset>0</wp:posOffset>
            </wp:positionH>
            <wp:positionV relativeFrom="paragraph">
              <wp:posOffset>42545</wp:posOffset>
            </wp:positionV>
            <wp:extent cx="769620" cy="74295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9620" cy="742950"/>
                    </a:xfrm>
                    <a:prstGeom prst="rect">
                      <a:avLst/>
                    </a:prstGeom>
                    <a:noFill/>
                  </pic:spPr>
                </pic:pic>
              </a:graphicData>
            </a:graphic>
            <wp14:sizeRelH relativeFrom="page">
              <wp14:pctWidth>0</wp14:pctWidth>
            </wp14:sizeRelH>
            <wp14:sizeRelV relativeFrom="page">
              <wp14:pctHeight>0</wp14:pctHeight>
            </wp14:sizeRelV>
          </wp:anchor>
        </w:drawing>
      </w:r>
      <w:r w:rsidR="0052695D" w:rsidRPr="0052695D">
        <w:rPr>
          <w:rFonts w:ascii="Arial" w:hAnsi="Arial" w:cs="Arial"/>
          <w:b/>
          <w:bCs/>
          <w:lang w:val="en"/>
        </w:rPr>
        <w:t>Biography</w:t>
      </w:r>
      <w:r w:rsidR="0052695D">
        <w:rPr>
          <w:rFonts w:ascii="Arial" w:hAnsi="Arial" w:cs="Arial"/>
          <w:lang w:val="en"/>
        </w:rPr>
        <w:t>:</w:t>
      </w:r>
      <w:r w:rsidR="003360E6">
        <w:rPr>
          <w:rFonts w:ascii="Arial" w:hAnsi="Arial" w:cs="Arial"/>
          <w:lang w:val="en"/>
        </w:rPr>
        <w:t xml:space="preserve"> </w:t>
      </w:r>
      <w:r w:rsidR="00AD3D92" w:rsidRPr="00AD3D92">
        <w:rPr>
          <w:rFonts w:ascii="Arial" w:hAnsi="Arial" w:cs="Arial"/>
          <w:sz w:val="21"/>
          <w:szCs w:val="21"/>
          <w:lang w:val="en"/>
        </w:rPr>
        <w:t xml:space="preserve">I am doing my </w:t>
      </w:r>
      <w:r w:rsidR="00AD3D92" w:rsidRPr="003360E6">
        <w:rPr>
          <w:rFonts w:ascii="Arial" w:hAnsi="Arial" w:cs="Arial"/>
          <w:sz w:val="21"/>
          <w:szCs w:val="21"/>
          <w:lang w:val="en"/>
        </w:rPr>
        <w:t>PhD</w:t>
      </w:r>
      <w:r w:rsidR="00AD3D92" w:rsidRPr="00AD3D92">
        <w:rPr>
          <w:rFonts w:ascii="Arial" w:hAnsi="Arial" w:cs="Arial"/>
          <w:sz w:val="21"/>
          <w:szCs w:val="21"/>
          <w:lang w:val="en"/>
        </w:rPr>
        <w:t xml:space="preserve"> in molecular medicine in Jacques P Tremblay</w:t>
      </w:r>
      <w:r w:rsidR="0052695D" w:rsidRPr="003360E6">
        <w:rPr>
          <w:rFonts w:ascii="Arial" w:hAnsi="Arial" w:cs="Arial"/>
          <w:sz w:val="21"/>
          <w:szCs w:val="21"/>
          <w:lang w:val="en"/>
        </w:rPr>
        <w:t>’</w:t>
      </w:r>
      <w:r w:rsidR="00AD3D92" w:rsidRPr="003360E6">
        <w:rPr>
          <w:rFonts w:ascii="Arial" w:hAnsi="Arial" w:cs="Arial"/>
          <w:sz w:val="21"/>
          <w:szCs w:val="21"/>
          <w:lang w:val="en"/>
        </w:rPr>
        <w:t>s laboratory</w:t>
      </w:r>
      <w:r w:rsidR="00AD3D92" w:rsidRPr="00AD3D92">
        <w:rPr>
          <w:rFonts w:ascii="Arial" w:hAnsi="Arial" w:cs="Arial"/>
          <w:sz w:val="21"/>
          <w:szCs w:val="21"/>
          <w:lang w:val="en"/>
        </w:rPr>
        <w:t xml:space="preserve"> (CHU de Québec, Laval University</w:t>
      </w:r>
      <w:r w:rsidR="00AD3D92" w:rsidRPr="003360E6">
        <w:rPr>
          <w:rFonts w:ascii="Arial" w:hAnsi="Arial" w:cs="Arial"/>
          <w:sz w:val="21"/>
          <w:szCs w:val="21"/>
          <w:lang w:val="en"/>
        </w:rPr>
        <w:t>)</w:t>
      </w:r>
      <w:r w:rsidR="00C26165">
        <w:rPr>
          <w:rFonts w:ascii="Arial" w:hAnsi="Arial" w:cs="Arial"/>
          <w:sz w:val="21"/>
          <w:szCs w:val="21"/>
          <w:lang w:val="en"/>
        </w:rPr>
        <w:t xml:space="preserve"> since 2018</w:t>
      </w:r>
      <w:r w:rsidR="00AD3D92" w:rsidRPr="00AD3D92">
        <w:rPr>
          <w:rFonts w:ascii="Arial" w:hAnsi="Arial" w:cs="Arial"/>
          <w:sz w:val="21"/>
          <w:szCs w:val="21"/>
          <w:lang w:val="en"/>
        </w:rPr>
        <w:t>. I have a master's degree in molecular biology</w:t>
      </w:r>
      <w:r w:rsidR="003360E6">
        <w:rPr>
          <w:rFonts w:ascii="Arial" w:hAnsi="Arial" w:cs="Arial"/>
          <w:sz w:val="21"/>
          <w:szCs w:val="21"/>
          <w:lang w:val="en"/>
        </w:rPr>
        <w:t xml:space="preserve">. </w:t>
      </w:r>
      <w:r w:rsidR="003360E6" w:rsidRPr="003360E6">
        <w:rPr>
          <w:rFonts w:ascii="Arial" w:hAnsi="Arial" w:cs="Arial"/>
          <w:sz w:val="21"/>
          <w:szCs w:val="21"/>
          <w:lang w:val="en"/>
        </w:rPr>
        <w:t>I previously worked in the molecular biology laboratory of the Burkina Faso national public health laboratory</w:t>
      </w:r>
      <w:r w:rsidR="003360E6">
        <w:rPr>
          <w:rFonts w:ascii="Arial" w:hAnsi="Arial" w:cs="Arial"/>
          <w:sz w:val="21"/>
          <w:szCs w:val="21"/>
          <w:lang w:val="en"/>
        </w:rPr>
        <w:t>.</w:t>
      </w:r>
      <w:r w:rsidR="00C26165">
        <w:rPr>
          <w:rFonts w:ascii="Arial" w:hAnsi="Arial" w:cs="Arial"/>
          <w:sz w:val="21"/>
          <w:szCs w:val="21"/>
          <w:lang w:val="en"/>
        </w:rPr>
        <w:t xml:space="preserve">                           </w:t>
      </w:r>
      <w:r w:rsidR="008A07C4" w:rsidRPr="0009358D">
        <w:rPr>
          <w:rFonts w:ascii="Arial" w:hAnsi="Arial" w:cs="Arial"/>
          <w:b/>
          <w:bCs/>
          <w:sz w:val="21"/>
          <w:szCs w:val="21"/>
          <w:lang w:val="en"/>
        </w:rPr>
        <w:t>Email</w:t>
      </w:r>
      <w:r w:rsidR="008A07C4" w:rsidRPr="003360E6">
        <w:rPr>
          <w:rFonts w:ascii="Arial" w:hAnsi="Arial" w:cs="Arial"/>
          <w:sz w:val="21"/>
          <w:szCs w:val="21"/>
          <w:lang w:val="en"/>
        </w:rPr>
        <w:t>: pouire.yameogo.1@ulaval.ca</w:t>
      </w:r>
    </w:p>
    <w:sectPr w:rsidR="008A07C4" w:rsidRPr="003360E6" w:rsidSect="00D46BFC">
      <w:type w:val="continuous"/>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8463B8"/>
    <w:multiLevelType w:val="hybridMultilevel"/>
    <w:tmpl w:val="09AA1088"/>
    <w:lvl w:ilvl="0" w:tplc="A91AF0D0">
      <w:start w:val="1"/>
      <w:numFmt w:val="decimal"/>
      <w:lvlText w:val="%1."/>
      <w:lvlJc w:val="left"/>
      <w:pPr>
        <w:ind w:left="780" w:hanging="420"/>
      </w:pPr>
      <w:rPr>
        <w:rFonts w:hint="default"/>
        <w:sz w:val="22"/>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7CB04D64"/>
    <w:multiLevelType w:val="hybridMultilevel"/>
    <w:tmpl w:val="689A728E"/>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597"/>
    <w:rsid w:val="000259B4"/>
    <w:rsid w:val="0009358D"/>
    <w:rsid w:val="00096BD9"/>
    <w:rsid w:val="00160ABC"/>
    <w:rsid w:val="001B20F5"/>
    <w:rsid w:val="0032338F"/>
    <w:rsid w:val="003360E6"/>
    <w:rsid w:val="0039614E"/>
    <w:rsid w:val="004234B9"/>
    <w:rsid w:val="00466E48"/>
    <w:rsid w:val="0052695D"/>
    <w:rsid w:val="005A4FA5"/>
    <w:rsid w:val="008A07C4"/>
    <w:rsid w:val="0096576B"/>
    <w:rsid w:val="009A0C89"/>
    <w:rsid w:val="00A639A3"/>
    <w:rsid w:val="00A86C64"/>
    <w:rsid w:val="00AD3D92"/>
    <w:rsid w:val="00BB7BE1"/>
    <w:rsid w:val="00C26165"/>
    <w:rsid w:val="00D46BFC"/>
    <w:rsid w:val="00D54597"/>
    <w:rsid w:val="00DA3178"/>
    <w:rsid w:val="00DD3A6B"/>
    <w:rsid w:val="00E5323E"/>
    <w:rsid w:val="00E72985"/>
    <w:rsid w:val="00F6490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D280"/>
  <w15:chartTrackingRefBased/>
  <w15:docId w15:val="{32E70AB2-E10B-457B-93E9-13908328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597"/>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AD3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CA"/>
    </w:rPr>
  </w:style>
  <w:style w:type="character" w:customStyle="1" w:styleId="PrformatHTMLCar">
    <w:name w:val="Préformaté HTML Car"/>
    <w:basedOn w:val="Policepardfaut"/>
    <w:link w:val="PrformatHTML"/>
    <w:uiPriority w:val="99"/>
    <w:semiHidden/>
    <w:rsid w:val="00AD3D92"/>
    <w:rPr>
      <w:rFonts w:ascii="Courier New" w:eastAsia="Times New Roman" w:hAnsi="Courier New" w:cs="Courier New"/>
      <w:sz w:val="20"/>
      <w:szCs w:val="20"/>
      <w:lang w:eastAsia="fr-CA"/>
    </w:rPr>
  </w:style>
  <w:style w:type="paragraph" w:styleId="Paragraphedeliste">
    <w:name w:val="List Paragraph"/>
    <w:basedOn w:val="Normal"/>
    <w:uiPriority w:val="34"/>
    <w:qFormat/>
    <w:rsid w:val="00E5323E"/>
    <w:pPr>
      <w:ind w:left="720"/>
      <w:contextualSpacing/>
    </w:pPr>
  </w:style>
  <w:style w:type="paragraph" w:styleId="Textedebulles">
    <w:name w:val="Balloon Text"/>
    <w:basedOn w:val="Normal"/>
    <w:link w:val="TextedebullesCar"/>
    <w:uiPriority w:val="99"/>
    <w:semiHidden/>
    <w:unhideWhenUsed/>
    <w:rsid w:val="0096576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57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25019">
      <w:bodyDiv w:val="1"/>
      <w:marLeft w:val="0"/>
      <w:marRight w:val="0"/>
      <w:marTop w:val="0"/>
      <w:marBottom w:val="0"/>
      <w:divBdr>
        <w:top w:val="none" w:sz="0" w:space="0" w:color="auto"/>
        <w:left w:val="none" w:sz="0" w:space="0" w:color="auto"/>
        <w:bottom w:val="none" w:sz="0" w:space="0" w:color="auto"/>
        <w:right w:val="none" w:sz="0" w:space="0" w:color="auto"/>
      </w:divBdr>
    </w:div>
    <w:div w:id="417407502">
      <w:bodyDiv w:val="1"/>
      <w:marLeft w:val="0"/>
      <w:marRight w:val="0"/>
      <w:marTop w:val="0"/>
      <w:marBottom w:val="0"/>
      <w:divBdr>
        <w:top w:val="none" w:sz="0" w:space="0" w:color="auto"/>
        <w:left w:val="none" w:sz="0" w:space="0" w:color="auto"/>
        <w:bottom w:val="none" w:sz="0" w:space="0" w:color="auto"/>
        <w:right w:val="none" w:sz="0" w:space="0" w:color="auto"/>
      </w:divBdr>
    </w:div>
    <w:div w:id="733435847">
      <w:bodyDiv w:val="1"/>
      <w:marLeft w:val="0"/>
      <w:marRight w:val="0"/>
      <w:marTop w:val="0"/>
      <w:marBottom w:val="0"/>
      <w:divBdr>
        <w:top w:val="none" w:sz="0" w:space="0" w:color="auto"/>
        <w:left w:val="none" w:sz="0" w:space="0" w:color="auto"/>
        <w:bottom w:val="none" w:sz="0" w:space="0" w:color="auto"/>
        <w:right w:val="none" w:sz="0" w:space="0" w:color="auto"/>
      </w:divBdr>
    </w:div>
    <w:div w:id="170158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600</Words>
  <Characters>3306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Pouiré Yameogo</dc:creator>
  <cp:keywords/>
  <dc:description/>
  <cp:lastModifiedBy>Pouiré Yameogo</cp:lastModifiedBy>
  <cp:revision>4</cp:revision>
  <cp:lastPrinted>2020-10-15T20:42:00Z</cp:lastPrinted>
  <dcterms:created xsi:type="dcterms:W3CDTF">2020-10-16T02:19:00Z</dcterms:created>
  <dcterms:modified xsi:type="dcterms:W3CDTF">2020-10-16T02:49:00Z</dcterms:modified>
</cp:coreProperties>
</file>