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5DD" w:rsidRDefault="00C615DD" w:rsidP="00C615DD">
      <w:pPr>
        <w:pStyle w:val="1"/>
        <w:spacing w:before="170"/>
        <w:ind w:left="0"/>
      </w:pPr>
      <w:bookmarkStart w:id="0" w:name="_GoBack"/>
      <w:bookmarkEnd w:id="0"/>
      <w:r>
        <w:rPr>
          <w:color w:val="337AB7"/>
        </w:rPr>
        <w:t>Inguinal hernia: a new non-mesh tension-free method of surgical treatment</w:t>
      </w:r>
    </w:p>
    <w:p w:rsidR="00C615DD" w:rsidRPr="00C615DD" w:rsidRDefault="00C615DD" w:rsidP="00C615DD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 w:rsidRPr="00C615DD">
        <w:rPr>
          <w:rFonts w:ascii="Arial" w:hAnsi="Arial" w:cs="Arial"/>
          <w:sz w:val="20"/>
          <w:szCs w:val="24"/>
        </w:rPr>
        <w:t>Abatov</w:t>
      </w:r>
      <w:proofErr w:type="spellEnd"/>
      <w:r w:rsidRPr="00C615DD">
        <w:rPr>
          <w:rFonts w:ascii="Arial" w:hAnsi="Arial" w:cs="Arial"/>
          <w:sz w:val="20"/>
          <w:szCs w:val="24"/>
        </w:rPr>
        <w:t xml:space="preserve"> </w:t>
      </w:r>
      <w:proofErr w:type="spellStart"/>
      <w:r w:rsidRPr="00C615DD">
        <w:rPr>
          <w:rFonts w:ascii="Arial" w:hAnsi="Arial" w:cs="Arial"/>
          <w:sz w:val="20"/>
          <w:szCs w:val="24"/>
        </w:rPr>
        <w:t>Nurkassi</w:t>
      </w:r>
      <w:proofErr w:type="spellEnd"/>
      <w:r w:rsidRPr="00C615DD">
        <w:rPr>
          <w:rFonts w:ascii="Arial" w:hAnsi="Arial" w:cs="Arial"/>
          <w:sz w:val="20"/>
          <w:szCs w:val="24"/>
        </w:rPr>
        <w:t>, FULL professor, PhD, Karaganda Medical University, Karaganda, Kazakhstan</w:t>
      </w:r>
    </w:p>
    <w:p w:rsidR="00C615DD" w:rsidRDefault="00C615DD" w:rsidP="00C615DD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 w:rsidRPr="00C615DD">
        <w:rPr>
          <w:rFonts w:ascii="Arial" w:hAnsi="Arial" w:cs="Arial"/>
          <w:sz w:val="20"/>
          <w:szCs w:val="24"/>
        </w:rPr>
        <w:t>Badyrov</w:t>
      </w:r>
      <w:proofErr w:type="spellEnd"/>
      <w:r w:rsidRPr="00C615DD">
        <w:rPr>
          <w:rFonts w:ascii="Arial" w:hAnsi="Arial" w:cs="Arial"/>
          <w:sz w:val="20"/>
          <w:szCs w:val="24"/>
        </w:rPr>
        <w:t xml:space="preserve"> </w:t>
      </w:r>
      <w:proofErr w:type="spellStart"/>
      <w:r w:rsidRPr="00C615DD">
        <w:rPr>
          <w:rFonts w:ascii="Arial" w:hAnsi="Arial" w:cs="Arial"/>
          <w:sz w:val="20"/>
          <w:szCs w:val="24"/>
        </w:rPr>
        <w:t>Ruslan</w:t>
      </w:r>
      <w:proofErr w:type="spellEnd"/>
      <w:r w:rsidRPr="00C615DD">
        <w:rPr>
          <w:rFonts w:ascii="Arial" w:hAnsi="Arial" w:cs="Arial"/>
          <w:sz w:val="20"/>
          <w:szCs w:val="24"/>
        </w:rPr>
        <w:t>, Associated professor, PhD, Karaganda Medical University, Karaganda, Kazakhstan</w:t>
      </w:r>
    </w:p>
    <w:p w:rsidR="003A79FF" w:rsidRDefault="003A79FF" w:rsidP="00C615DD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>
        <w:rPr>
          <w:rFonts w:ascii="Arial" w:hAnsi="Arial" w:cs="Arial"/>
          <w:sz w:val="20"/>
          <w:szCs w:val="24"/>
        </w:rPr>
        <w:t>Abatova</w:t>
      </w:r>
      <w:proofErr w:type="spellEnd"/>
      <w:r>
        <w:rPr>
          <w:rFonts w:ascii="Arial" w:hAnsi="Arial" w:cs="Arial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sz w:val="20"/>
          <w:szCs w:val="24"/>
        </w:rPr>
        <w:t>Aigerim</w:t>
      </w:r>
      <w:proofErr w:type="spellEnd"/>
      <w:r>
        <w:rPr>
          <w:rFonts w:ascii="Arial" w:hAnsi="Arial" w:cs="Arial"/>
          <w:sz w:val="20"/>
          <w:szCs w:val="24"/>
        </w:rPr>
        <w:t xml:space="preserve">, </w:t>
      </w:r>
      <w:r w:rsidRPr="00C615DD">
        <w:rPr>
          <w:rFonts w:ascii="Arial" w:hAnsi="Arial" w:cs="Arial"/>
          <w:sz w:val="20"/>
          <w:szCs w:val="24"/>
        </w:rPr>
        <w:t>PhD, Karaganda Medical University, Karaganda, Kazakhstan</w:t>
      </w:r>
    </w:p>
    <w:p w:rsidR="003A79FF" w:rsidRPr="003A79FF" w:rsidRDefault="003A79FF" w:rsidP="003A79FF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>
        <w:rPr>
          <w:rFonts w:ascii="Arial" w:hAnsi="Arial" w:cs="Arial"/>
          <w:sz w:val="20"/>
          <w:szCs w:val="24"/>
        </w:rPr>
        <w:t>Sapieva</w:t>
      </w:r>
      <w:proofErr w:type="spellEnd"/>
      <w:r>
        <w:rPr>
          <w:rFonts w:ascii="Arial" w:hAnsi="Arial" w:cs="Arial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sz w:val="20"/>
          <w:szCs w:val="24"/>
        </w:rPr>
        <w:t>Saule</w:t>
      </w:r>
      <w:proofErr w:type="spellEnd"/>
      <w:r>
        <w:rPr>
          <w:rFonts w:ascii="Arial" w:hAnsi="Arial" w:cs="Arial"/>
          <w:sz w:val="20"/>
          <w:szCs w:val="24"/>
        </w:rPr>
        <w:t xml:space="preserve">, PhD student, </w:t>
      </w:r>
      <w:r w:rsidRPr="00C615DD">
        <w:rPr>
          <w:rFonts w:ascii="Arial" w:hAnsi="Arial" w:cs="Arial"/>
          <w:sz w:val="20"/>
          <w:szCs w:val="24"/>
        </w:rPr>
        <w:t>Karaganda Medical University, Karaganda, Kazakhstan</w:t>
      </w:r>
    </w:p>
    <w:p w:rsidR="003A79FF" w:rsidRDefault="003A79FF" w:rsidP="00C615DD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>
        <w:rPr>
          <w:rFonts w:ascii="Arial" w:hAnsi="Arial" w:cs="Arial"/>
          <w:sz w:val="20"/>
          <w:szCs w:val="24"/>
        </w:rPr>
        <w:t>Troshin</w:t>
      </w:r>
      <w:proofErr w:type="spellEnd"/>
      <w:r>
        <w:rPr>
          <w:rFonts w:ascii="Arial" w:hAnsi="Arial" w:cs="Arial"/>
          <w:sz w:val="20"/>
          <w:szCs w:val="24"/>
        </w:rPr>
        <w:t xml:space="preserve"> Vadim, resident, </w:t>
      </w:r>
      <w:r w:rsidRPr="00C615DD">
        <w:rPr>
          <w:rFonts w:ascii="Arial" w:hAnsi="Arial" w:cs="Arial"/>
          <w:sz w:val="20"/>
          <w:szCs w:val="24"/>
        </w:rPr>
        <w:t>Karaganda Medical University, Karaganda, Kazakhstan</w:t>
      </w:r>
    </w:p>
    <w:p w:rsidR="003A79FF" w:rsidRPr="003A79FF" w:rsidRDefault="003A79FF" w:rsidP="00C615DD">
      <w:pPr>
        <w:pStyle w:val="a3"/>
        <w:spacing w:before="90" w:line="280" w:lineRule="auto"/>
        <w:jc w:val="both"/>
        <w:rPr>
          <w:rFonts w:ascii="Arial" w:hAnsi="Arial" w:cs="Arial"/>
          <w:sz w:val="20"/>
          <w:szCs w:val="24"/>
        </w:rPr>
      </w:pPr>
      <w:proofErr w:type="spellStart"/>
      <w:r>
        <w:rPr>
          <w:rFonts w:ascii="Arial" w:hAnsi="Arial" w:cs="Arial"/>
          <w:sz w:val="20"/>
          <w:szCs w:val="24"/>
        </w:rPr>
        <w:t>Badyrova</w:t>
      </w:r>
      <w:proofErr w:type="spellEnd"/>
      <w:r>
        <w:rPr>
          <w:rFonts w:ascii="Arial" w:hAnsi="Arial" w:cs="Arial"/>
          <w:sz w:val="20"/>
          <w:szCs w:val="24"/>
        </w:rPr>
        <w:t xml:space="preserve"> Elena, intern</w:t>
      </w:r>
      <w:r>
        <w:rPr>
          <w:rFonts w:ascii="Arial" w:hAnsi="Arial" w:cs="Arial"/>
          <w:sz w:val="20"/>
          <w:szCs w:val="24"/>
        </w:rPr>
        <w:t xml:space="preserve">, </w:t>
      </w:r>
      <w:r w:rsidRPr="00C615DD">
        <w:rPr>
          <w:rFonts w:ascii="Arial" w:hAnsi="Arial" w:cs="Arial"/>
          <w:sz w:val="20"/>
          <w:szCs w:val="24"/>
        </w:rPr>
        <w:t>Karaganda Medical University, Karaganda, Kazakhstan</w:t>
      </w:r>
    </w:p>
    <w:p w:rsidR="00C615DD" w:rsidRPr="00C615DD" w:rsidRDefault="00C615DD" w:rsidP="00C615DD">
      <w:pPr>
        <w:rPr>
          <w:rFonts w:ascii="Arial" w:hAnsi="Arial" w:cs="Arial"/>
          <w:sz w:val="18"/>
        </w:rPr>
      </w:pPr>
    </w:p>
    <w:p w:rsidR="00C615DD" w:rsidRDefault="00C615DD" w:rsidP="00C615DD">
      <w:pPr>
        <w:rPr>
          <w:rFonts w:ascii="Arial"/>
          <w:sz w:val="21"/>
        </w:rPr>
        <w:sectPr w:rsidR="00C615DD" w:rsidSect="00C615DD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C615DD" w:rsidRDefault="00C615DD" w:rsidP="00C615DD">
      <w:pPr>
        <w:pStyle w:val="3"/>
        <w:ind w:left="102"/>
        <w:jc w:val="both"/>
      </w:pPr>
      <w:r>
        <w:rPr>
          <w:color w:val="BF5A14"/>
        </w:rPr>
        <w:lastRenderedPageBreak/>
        <w:t>Abstract</w:t>
      </w:r>
    </w:p>
    <w:p w:rsidR="00C615DD" w:rsidRPr="00904E89" w:rsidRDefault="00C615DD" w:rsidP="00C615DD">
      <w:pPr>
        <w:pStyle w:val="a3"/>
        <w:ind w:left="102"/>
        <w:jc w:val="both"/>
        <w:rPr>
          <w:rFonts w:cs="Times New Roman"/>
          <w:color w:val="000000"/>
          <w:sz w:val="20"/>
          <w:szCs w:val="20"/>
          <w:shd w:val="clear" w:color="auto" w:fill="FFFFFF"/>
        </w:rPr>
      </w:pPr>
      <w:r w:rsidRPr="00904E89">
        <w:rPr>
          <w:rFonts w:cs="Times New Roman"/>
          <w:sz w:val="20"/>
          <w:szCs w:val="20"/>
        </w:rPr>
        <w:t>Statement of the Problem: R</w:t>
      </w:r>
      <w:r w:rsidRPr="00904E89">
        <w:rPr>
          <w:rFonts w:cs="Times New Roman"/>
          <w:color w:val="000000"/>
          <w:sz w:val="20"/>
          <w:szCs w:val="20"/>
          <w:shd w:val="clear" w:color="auto" w:fill="FFFFFF"/>
        </w:rPr>
        <w:t xml:space="preserve">ecurrences have been a significant problem following hernia repair. Prosthetic materials have been increasingly used in hernia repair to prevent recurrences. However, synthetic </w:t>
      </w:r>
      <w:proofErr w:type="spellStart"/>
      <w:r w:rsidRPr="00904E89">
        <w:rPr>
          <w:rFonts w:cs="Times New Roman"/>
          <w:color w:val="000000"/>
          <w:sz w:val="20"/>
          <w:szCs w:val="20"/>
          <w:shd w:val="clear" w:color="auto" w:fill="FFFFFF"/>
        </w:rPr>
        <w:t>endoprostheses</w:t>
      </w:r>
      <w:proofErr w:type="spellEnd"/>
      <w:r w:rsidRPr="00904E89">
        <w:rPr>
          <w:rFonts w:cs="Times New Roman"/>
          <w:color w:val="000000"/>
          <w:sz w:val="20"/>
          <w:szCs w:val="20"/>
          <w:shd w:val="clear" w:color="auto" w:fill="FFFFFF"/>
        </w:rPr>
        <w:t xml:space="preserve"> have disadvantages, which include: aseptic inflammation in the surrounding tissues with the formation of a pronounced connective tissue scar; low resistance to the infection; high risk of adhesions between the abdominal organs and the mesh. The aim 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>of</w:t>
      </w:r>
      <w:r w:rsidRPr="00904E89">
        <w:rPr>
          <w:rFonts w:cs="Times New Roman"/>
          <w:color w:val="000000"/>
          <w:sz w:val="20"/>
          <w:szCs w:val="20"/>
          <w:shd w:val="clear" w:color="auto" w:fill="FFFFFF"/>
        </w:rPr>
        <w:t xml:space="preserve"> study was to create a new method of inguinal hernia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 repair</w:t>
      </w:r>
      <w:r w:rsidRPr="00904E89">
        <w:rPr>
          <w:rFonts w:cs="Times New Roman"/>
          <w:color w:val="000000"/>
          <w:sz w:val="20"/>
          <w:szCs w:val="20"/>
          <w:shd w:val="clear" w:color="auto" w:fill="FFFFFF"/>
        </w:rPr>
        <w:t>, not using synthetic mesh.</w:t>
      </w:r>
    </w:p>
    <w:p w:rsidR="00C615DD" w:rsidRPr="00904E89" w:rsidRDefault="00C615DD" w:rsidP="00C615DD">
      <w:pPr>
        <w:pStyle w:val="a3"/>
        <w:ind w:left="102"/>
        <w:jc w:val="both"/>
        <w:rPr>
          <w:rFonts w:cs="Times New Roman"/>
          <w:color w:val="000000"/>
          <w:sz w:val="20"/>
          <w:szCs w:val="20"/>
          <w:shd w:val="clear" w:color="auto" w:fill="FFFFFF"/>
        </w:rPr>
      </w:pPr>
      <w:r w:rsidRPr="00904E89">
        <w:rPr>
          <w:rFonts w:cs="Times New Roman"/>
          <w:sz w:val="20"/>
          <w:szCs w:val="20"/>
        </w:rPr>
        <w:t xml:space="preserve">Methodology &amp; Theoretical Orientation: Our new method of </w:t>
      </w:r>
      <w:proofErr w:type="spellStart"/>
      <w:r w:rsidRPr="00904E89">
        <w:rPr>
          <w:rFonts w:cs="Times New Roman"/>
          <w:sz w:val="20"/>
          <w:szCs w:val="20"/>
        </w:rPr>
        <w:t>autoplasty</w:t>
      </w:r>
      <w:proofErr w:type="spellEnd"/>
      <w:r w:rsidRPr="00904E89">
        <w:rPr>
          <w:rFonts w:cs="Times New Roman"/>
          <w:sz w:val="20"/>
          <w:szCs w:val="20"/>
        </w:rPr>
        <w:t xml:space="preserve"> of the posterior wall of the inguinal canal based on cutting out the aponeurotic flap from the sheath of rectus abdominis muscle, and moving it on the </w:t>
      </w:r>
      <w:r>
        <w:rPr>
          <w:rFonts w:cs="Times New Roman"/>
          <w:sz w:val="20"/>
          <w:szCs w:val="20"/>
        </w:rPr>
        <w:t>under spermatic cord</w:t>
      </w:r>
      <w:r w:rsidRPr="00904E89">
        <w:rPr>
          <w:rFonts w:cs="Times New Roman"/>
          <w:sz w:val="20"/>
          <w:szCs w:val="20"/>
        </w:rPr>
        <w:t xml:space="preserve">, followed by fixing it to the </w:t>
      </w:r>
      <w:r>
        <w:rPr>
          <w:rFonts w:cs="Times New Roman"/>
          <w:sz w:val="20"/>
          <w:szCs w:val="20"/>
        </w:rPr>
        <w:t>pubic</w:t>
      </w:r>
      <w:r w:rsidRPr="00904E89">
        <w:rPr>
          <w:rFonts w:cs="Times New Roman"/>
          <w:sz w:val="20"/>
          <w:szCs w:val="20"/>
        </w:rPr>
        <w:t xml:space="preserve"> tubercle, </w:t>
      </w:r>
      <w:r>
        <w:rPr>
          <w:rFonts w:cs="Times New Roman"/>
          <w:sz w:val="20"/>
          <w:szCs w:val="20"/>
        </w:rPr>
        <w:t xml:space="preserve">inguinal ligament, medial – </w:t>
      </w:r>
      <w:r w:rsidRPr="00904E89">
        <w:rPr>
          <w:rFonts w:cs="Times New Roman"/>
          <w:sz w:val="20"/>
          <w:szCs w:val="20"/>
        </w:rPr>
        <w:t xml:space="preserve">rectus, </w:t>
      </w:r>
      <w:r>
        <w:rPr>
          <w:rFonts w:cs="Times New Roman"/>
          <w:sz w:val="20"/>
          <w:szCs w:val="20"/>
        </w:rPr>
        <w:t xml:space="preserve">internal oblique and transverse </w:t>
      </w:r>
      <w:r w:rsidRPr="00904E89">
        <w:rPr>
          <w:rFonts w:cs="Times New Roman"/>
          <w:sz w:val="20"/>
          <w:szCs w:val="20"/>
        </w:rPr>
        <w:t xml:space="preserve">muscles of the abdomen (figure 1). </w:t>
      </w:r>
      <w:r w:rsidRPr="00904E89">
        <w:rPr>
          <w:rFonts w:cs="Times New Roman"/>
          <w:color w:val="000000"/>
          <w:sz w:val="20"/>
          <w:szCs w:val="20"/>
          <w:shd w:val="clear" w:color="auto" w:fill="FFFFFF"/>
        </w:rPr>
        <w:t>In this study, 15 new non-mesh tension-free inguinal hernia repair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s </w:t>
      </w:r>
      <w:r w:rsidRPr="00904E89">
        <w:rPr>
          <w:rFonts w:cs="Times New Roman"/>
          <w:color w:val="000000"/>
          <w:sz w:val="20"/>
          <w:szCs w:val="20"/>
          <w:shd w:val="clear" w:color="auto" w:fill="FFFFFF"/>
        </w:rPr>
        <w:t>were performed. The main outcome measure was recurrence in the early postoperative period (before 30 days).</w:t>
      </w:r>
    </w:p>
    <w:p w:rsidR="00C615DD" w:rsidRPr="00904E89" w:rsidRDefault="00C615DD" w:rsidP="00C615DD">
      <w:pPr>
        <w:pStyle w:val="a3"/>
        <w:ind w:left="102"/>
        <w:jc w:val="both"/>
        <w:rPr>
          <w:sz w:val="20"/>
          <w:szCs w:val="20"/>
        </w:rPr>
      </w:pPr>
      <w:r w:rsidRPr="00904E89">
        <w:rPr>
          <w:sz w:val="20"/>
          <w:szCs w:val="20"/>
        </w:rPr>
        <w:t xml:space="preserve">Findings: </w:t>
      </w:r>
      <w:r w:rsidRPr="00904E89">
        <w:rPr>
          <w:color w:val="000000"/>
          <w:sz w:val="20"/>
          <w:szCs w:val="20"/>
          <w:shd w:val="clear" w:color="auto" w:fill="FFFFFF"/>
        </w:rPr>
        <w:t>Inguinal hernia was indirect in 60% of cases (9 patients), direct in 40% (7 patients). Mean patient age was 47.3 years (range, 18 – 75). Follow-up was completed in all 15 patients (100%) by clinical examination or phone call. Small seroma formation in 1 patient was observed in 5</w:t>
      </w:r>
      <w:r w:rsidRPr="00904E89">
        <w:rPr>
          <w:color w:val="000000"/>
          <w:sz w:val="20"/>
          <w:szCs w:val="20"/>
          <w:shd w:val="clear" w:color="auto" w:fill="FFFFFF"/>
          <w:vertAlign w:val="superscript"/>
        </w:rPr>
        <w:t>th</w:t>
      </w:r>
      <w:r w:rsidRPr="00904E89">
        <w:rPr>
          <w:color w:val="000000"/>
          <w:sz w:val="20"/>
          <w:szCs w:val="20"/>
          <w:shd w:val="clear" w:color="auto" w:fill="FFFFFF"/>
        </w:rPr>
        <w:t xml:space="preserve"> day, but not requiring drainage. We have not observed acute infection, hematoma formation or functional or organic changes in the spermatic cord related to the </w:t>
      </w:r>
      <w:r>
        <w:rPr>
          <w:color w:val="000000"/>
          <w:sz w:val="20"/>
          <w:szCs w:val="20"/>
          <w:shd w:val="clear" w:color="auto" w:fill="FFFFFF"/>
        </w:rPr>
        <w:t>new technique</w:t>
      </w:r>
      <w:r w:rsidRPr="00904E89">
        <w:rPr>
          <w:color w:val="000000"/>
          <w:sz w:val="20"/>
          <w:szCs w:val="20"/>
          <w:shd w:val="clear" w:color="auto" w:fill="FFFFFF"/>
        </w:rPr>
        <w:t xml:space="preserve"> of hernia repair.</w:t>
      </w:r>
    </w:p>
    <w:p w:rsidR="00C615DD" w:rsidRDefault="00C615DD" w:rsidP="00C615DD">
      <w:pPr>
        <w:pStyle w:val="a3"/>
        <w:ind w:left="102"/>
        <w:jc w:val="both"/>
        <w:rPr>
          <w:sz w:val="20"/>
          <w:szCs w:val="20"/>
        </w:rPr>
      </w:pPr>
      <w:r w:rsidRPr="00904E89">
        <w:rPr>
          <w:sz w:val="20"/>
          <w:szCs w:val="20"/>
        </w:rPr>
        <w:t xml:space="preserve">Conclusion &amp; Significance: </w:t>
      </w:r>
      <w:r>
        <w:rPr>
          <w:sz w:val="20"/>
          <w:szCs w:val="20"/>
        </w:rPr>
        <w:t>T</w:t>
      </w:r>
      <w:r w:rsidRPr="00904E89">
        <w:rPr>
          <w:sz w:val="20"/>
          <w:szCs w:val="20"/>
        </w:rPr>
        <w:t xml:space="preserve">he above-described method ensures the proper strength of the posterior wall of the inguinal canal, preserves the physiological function of </w:t>
      </w:r>
      <w:r>
        <w:rPr>
          <w:sz w:val="20"/>
          <w:szCs w:val="20"/>
        </w:rPr>
        <w:t>it</w:t>
      </w:r>
      <w:r w:rsidRPr="00904E89">
        <w:rPr>
          <w:sz w:val="20"/>
          <w:szCs w:val="20"/>
        </w:rPr>
        <w:t xml:space="preserve"> after operation. The use of this technique has a </w:t>
      </w:r>
      <w:r>
        <w:rPr>
          <w:sz w:val="20"/>
          <w:szCs w:val="20"/>
        </w:rPr>
        <w:t>big</w:t>
      </w:r>
      <w:r w:rsidRPr="00904E89">
        <w:rPr>
          <w:sz w:val="20"/>
          <w:szCs w:val="20"/>
        </w:rPr>
        <w:t xml:space="preserve"> potential in the inguinal hernia repair, since it can eliminate all complications associated with the use of synthetic material.</w:t>
      </w:r>
    </w:p>
    <w:p w:rsidR="00C615DD" w:rsidRDefault="00C615DD" w:rsidP="00C615DD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C615DD" w:rsidRDefault="00C615DD" w:rsidP="00C615DD">
      <w:pPr>
        <w:pStyle w:val="a3"/>
        <w:spacing w:before="90" w:line="280" w:lineRule="auto"/>
        <w:ind w:left="100"/>
        <w:jc w:val="both"/>
        <w:rPr>
          <w:sz w:val="20"/>
          <w:szCs w:val="20"/>
        </w:rPr>
      </w:pPr>
      <w:r w:rsidRPr="00904E89">
        <w:rPr>
          <w:rFonts w:cs="Times New Roman"/>
          <w:noProof/>
          <w:sz w:val="20"/>
          <w:szCs w:val="20"/>
          <w:lang w:val="ru-RU" w:eastAsia="ru-RU"/>
        </w:rPr>
        <w:drawing>
          <wp:inline distT="0" distB="0" distL="0" distR="0" wp14:anchorId="4B1EDE60" wp14:editId="7A45F7D7">
            <wp:extent cx="3095625" cy="23501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00" cy="236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5DD" w:rsidRPr="00C615DD" w:rsidRDefault="00C615DD" w:rsidP="00C615DD">
      <w:pPr>
        <w:pStyle w:val="a3"/>
        <w:spacing w:before="90" w:line="280" w:lineRule="auto"/>
        <w:ind w:left="100"/>
        <w:jc w:val="both"/>
        <w:rPr>
          <w:sz w:val="20"/>
          <w:szCs w:val="20"/>
        </w:rPr>
      </w:pPr>
      <w:r w:rsidRPr="00C615DD">
        <w:rPr>
          <w:b/>
          <w:sz w:val="20"/>
          <w:szCs w:val="20"/>
        </w:rPr>
        <w:t>Figure 1:</w:t>
      </w:r>
      <w:r>
        <w:rPr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A</w:t>
      </w:r>
      <w:r w:rsidRPr="00904E89">
        <w:rPr>
          <w:rFonts w:cs="Times New Roman"/>
          <w:sz w:val="20"/>
          <w:szCs w:val="20"/>
        </w:rPr>
        <w:t>utoplasty</w:t>
      </w:r>
      <w:proofErr w:type="spellEnd"/>
      <w:r w:rsidRPr="00904E89">
        <w:rPr>
          <w:rFonts w:cs="Times New Roman"/>
          <w:sz w:val="20"/>
          <w:szCs w:val="20"/>
        </w:rPr>
        <w:t xml:space="preserve"> of the posterior wall of the inguinal canal</w:t>
      </w:r>
      <w:r>
        <w:rPr>
          <w:rFonts w:cs="Times New Roman"/>
          <w:sz w:val="20"/>
          <w:szCs w:val="20"/>
        </w:rPr>
        <w:t>. A</w:t>
      </w:r>
      <w:r w:rsidRPr="00904E89">
        <w:rPr>
          <w:rFonts w:cs="Times New Roman"/>
          <w:sz w:val="20"/>
          <w:szCs w:val="20"/>
        </w:rPr>
        <w:t>poneurotic flap from the sheath of rectus abdominis muscle</w:t>
      </w:r>
      <w:r>
        <w:rPr>
          <w:rFonts w:cs="Times New Roman"/>
          <w:sz w:val="20"/>
          <w:szCs w:val="20"/>
        </w:rPr>
        <w:t xml:space="preserve"> </w:t>
      </w:r>
      <w:r w:rsidRPr="00904E89">
        <w:rPr>
          <w:rFonts w:cs="Times New Roman"/>
          <w:sz w:val="20"/>
          <w:szCs w:val="20"/>
        </w:rPr>
        <w:t>mov</w:t>
      </w:r>
      <w:r>
        <w:rPr>
          <w:rFonts w:cs="Times New Roman"/>
          <w:sz w:val="20"/>
          <w:szCs w:val="20"/>
        </w:rPr>
        <w:t>ed</w:t>
      </w:r>
      <w:r w:rsidRPr="00904E89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o</w:t>
      </w:r>
      <w:r w:rsidRPr="00904E89">
        <w:rPr>
          <w:rFonts w:cs="Times New Roman"/>
          <w:sz w:val="20"/>
          <w:szCs w:val="20"/>
        </w:rPr>
        <w:t>n the pedicle for plastics of the posterior wall of the inguinal canal</w:t>
      </w:r>
      <w:r>
        <w:rPr>
          <w:rFonts w:cs="Times New Roman"/>
          <w:sz w:val="20"/>
          <w:szCs w:val="20"/>
        </w:rPr>
        <w:t xml:space="preserve"> and fixed.</w:t>
      </w:r>
    </w:p>
    <w:p w:rsidR="00C615DD" w:rsidRDefault="00C615DD" w:rsidP="00C615DD">
      <w:pPr>
        <w:spacing w:line="200" w:lineRule="exact"/>
        <w:jc w:val="both"/>
        <w:rPr>
          <w:rFonts w:ascii="Calibri" w:hAnsi="Calibri"/>
        </w:rPr>
        <w:sectPr w:rsidR="00C615D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C615DD" w:rsidRDefault="00C615DD" w:rsidP="00C615DD">
      <w:pPr>
        <w:pStyle w:val="a3"/>
        <w:rPr>
          <w:rFonts w:ascii="Calibri"/>
          <w:sz w:val="20"/>
        </w:rPr>
      </w:pPr>
    </w:p>
    <w:p w:rsidR="00C615DD" w:rsidRDefault="00C615DD" w:rsidP="00C615DD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 wp14:anchorId="3892B6AD" wp14:editId="6F76DB6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CB058D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C615DD" w:rsidRDefault="00C615DD" w:rsidP="00C615DD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76930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8F20E47" wp14:editId="691A864B">
            <wp:extent cx="800100" cy="845966"/>
            <wp:effectExtent l="0" t="0" r="0" b="0"/>
            <wp:docPr id="3" name="Рисунок 3" descr="C:\Users\владелец\Downloads\IMG-2018120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ownloads\IMG-20181209-WA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3" t="10397" r="-52" b="41646"/>
                    <a:stretch/>
                  </pic:blipFill>
                  <pic:spPr bwMode="auto">
                    <a:xfrm>
                      <a:off x="0" y="0"/>
                      <a:ext cx="831549" cy="87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6930">
        <w:rPr>
          <w:noProof/>
          <w:lang w:eastAsia="ru-RU"/>
        </w:rPr>
        <w:t xml:space="preserve">  </w:t>
      </w:r>
      <w:r w:rsidRPr="00C615DD">
        <w:rPr>
          <w:rFonts w:ascii="Arial"/>
          <w:b/>
          <w:color w:val="BF5A14"/>
          <w:sz w:val="20"/>
        </w:rPr>
        <w:t>Biography</w:t>
      </w:r>
    </w:p>
    <w:p w:rsidR="00C615DD" w:rsidRDefault="00C615DD" w:rsidP="00C615DD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876930" w:rsidRDefault="00876930" w:rsidP="00876930">
      <w:pPr>
        <w:ind w:left="215" w:right="232"/>
        <w:jc w:val="both"/>
        <w:rPr>
          <w:rFonts w:ascii="Arial"/>
          <w:sz w:val="14"/>
        </w:rPr>
      </w:pPr>
      <w:proofErr w:type="spellStart"/>
      <w:r w:rsidRPr="00876930">
        <w:rPr>
          <w:rFonts w:ascii="Arial" w:hAnsi="Arial" w:cs="Arial"/>
          <w:sz w:val="14"/>
        </w:rPr>
        <w:t>Badyrov</w:t>
      </w:r>
      <w:proofErr w:type="spellEnd"/>
      <w:r w:rsidRPr="00876930">
        <w:rPr>
          <w:rFonts w:ascii="Arial" w:hAnsi="Arial" w:cs="Arial"/>
          <w:sz w:val="14"/>
        </w:rPr>
        <w:t xml:space="preserve"> </w:t>
      </w:r>
      <w:proofErr w:type="spellStart"/>
      <w:r w:rsidRPr="00876930">
        <w:rPr>
          <w:rFonts w:ascii="Arial" w:hAnsi="Arial" w:cs="Arial"/>
          <w:sz w:val="14"/>
        </w:rPr>
        <w:t>Ruslan</w:t>
      </w:r>
      <w:proofErr w:type="spellEnd"/>
      <w:r w:rsidRPr="00876930">
        <w:rPr>
          <w:rFonts w:ascii="Arial" w:hAnsi="Arial" w:cs="Arial"/>
          <w:sz w:val="14"/>
        </w:rPr>
        <w:t xml:space="preserve"> has experience in the treatment of surgical diseases of the abdominal cavity and the anterior abdominal wall. For 5 years, he has been actively studying modern methods of abdominal wall reconstruction, as well as introducing new ones. He is a co-author of the invention - a new biological implant based on the extracellular bovine-derived peritoneum matrix for abdominal wall defects repair (Patent of the Republic of Kazakhstan), is actively working on the use of biological implants for abdominal wall reconstruction.</w:t>
      </w:r>
    </w:p>
    <w:p w:rsidR="00C615DD" w:rsidRDefault="00C615DD" w:rsidP="00C615D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876930" w:rsidRPr="002537A0">
          <w:rPr>
            <w:rStyle w:val="a6"/>
            <w:rFonts w:ascii="Arial"/>
            <w:sz w:val="14"/>
          </w:rPr>
          <w:t>badyrov_ruslan@bk.ru</w:t>
        </w:r>
      </w:hyperlink>
    </w:p>
    <w:p w:rsidR="00C615DD" w:rsidRDefault="00C615DD" w:rsidP="00C615DD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A4819A4" wp14:editId="0B0C546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E5B828A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C615DD" w:rsidRDefault="00C615DD" w:rsidP="00C615DD">
      <w:pPr>
        <w:pStyle w:val="a3"/>
        <w:rPr>
          <w:rFonts w:ascii="Arial"/>
          <w:sz w:val="20"/>
        </w:rPr>
      </w:pPr>
    </w:p>
    <w:p w:rsidR="00C615DD" w:rsidRDefault="00C615DD" w:rsidP="00C615DD">
      <w:pPr>
        <w:pStyle w:val="a3"/>
        <w:rPr>
          <w:rFonts w:ascii="Arial"/>
          <w:sz w:val="20"/>
        </w:rPr>
      </w:pPr>
    </w:p>
    <w:p w:rsidR="00C615DD" w:rsidRDefault="00C615DD" w:rsidP="00C615DD">
      <w:pPr>
        <w:pStyle w:val="a3"/>
        <w:spacing w:before="7"/>
        <w:rPr>
          <w:rFonts w:ascii="Arial"/>
          <w:sz w:val="29"/>
        </w:rPr>
      </w:pPr>
    </w:p>
    <w:p w:rsidR="00C615DD" w:rsidRPr="00B21A57" w:rsidRDefault="00C615DD" w:rsidP="00C615DD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C615DD" w:rsidRDefault="00C615DD" w:rsidP="00C615DD">
      <w:pPr>
        <w:rPr>
          <w:rFonts w:ascii="Minion Pro"/>
          <w:sz w:val="24"/>
        </w:rPr>
        <w:sectPr w:rsidR="00C615D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C615DD" w:rsidRDefault="00C615DD" w:rsidP="00C615DD">
      <w:pPr>
        <w:pStyle w:val="a3"/>
        <w:spacing w:before="3"/>
        <w:rPr>
          <w:rFonts w:ascii="Minion Pro"/>
          <w:sz w:val="26"/>
        </w:rPr>
      </w:pPr>
    </w:p>
    <w:p w:rsidR="00DC1218" w:rsidRDefault="00DC1218"/>
    <w:sectPr w:rsidR="00DC12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3D5" w:rsidRDefault="00AF23D5" w:rsidP="00C615DD">
      <w:r>
        <w:separator/>
      </w:r>
    </w:p>
  </w:endnote>
  <w:endnote w:type="continuationSeparator" w:id="0">
    <w:p w:rsidR="00AF23D5" w:rsidRDefault="00AF23D5" w:rsidP="00C6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9E1D9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EF6552B" wp14:editId="6B2E0E0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9E1D9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9E1D9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1EF655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9E1D9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9E1D9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0DD710B" wp14:editId="2A46A3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9E1D9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9E1D9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60DD710B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9E1D9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9E1D9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30B1794" wp14:editId="0B94853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9E1D9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9E1D9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730B1794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9E1D9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9E1D9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3D5" w:rsidRDefault="00AF23D5" w:rsidP="00C615DD">
      <w:r>
        <w:separator/>
      </w:r>
    </w:p>
  </w:footnote>
  <w:footnote w:type="continuationSeparator" w:id="0">
    <w:p w:rsidR="00AF23D5" w:rsidRDefault="00AF23D5" w:rsidP="00C61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9E1D9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06C4C3" wp14:editId="1FB75B7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9E1D9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7506C4C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9E1D99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83B8F0F" wp14:editId="7FEC153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9E1D99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9E1D9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583B8F0F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9E1D99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9E1D9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2016  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5DD"/>
    <w:rsid w:val="003A79FF"/>
    <w:rsid w:val="00876930"/>
    <w:rsid w:val="009E1D99"/>
    <w:rsid w:val="00AF23D5"/>
    <w:rsid w:val="00C615DD"/>
    <w:rsid w:val="00DC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15DD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C615DD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C615DD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615DD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Заголовок 3 Знак"/>
    <w:basedOn w:val="a0"/>
    <w:link w:val="3"/>
    <w:uiPriority w:val="1"/>
    <w:rsid w:val="00C615DD"/>
    <w:rPr>
      <w:rFonts w:ascii="Arial" w:eastAsia="Arial" w:hAnsi="Arial" w:cs="Arial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C615DD"/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C615DD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C615DD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C615DD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C615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15DD"/>
    <w:rPr>
      <w:rFonts w:ascii="Tw Cen MT" w:eastAsia="Tw Cen MT" w:hAnsi="Tw Cen MT" w:cs="Tw Cen MT"/>
      <w:lang w:val="en-US"/>
    </w:rPr>
  </w:style>
  <w:style w:type="paragraph" w:styleId="a9">
    <w:name w:val="footer"/>
    <w:basedOn w:val="a"/>
    <w:link w:val="aa"/>
    <w:uiPriority w:val="99"/>
    <w:unhideWhenUsed/>
    <w:rsid w:val="00C615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15DD"/>
    <w:rPr>
      <w:rFonts w:ascii="Tw Cen MT" w:eastAsia="Tw Cen MT" w:hAnsi="Tw Cen MT" w:cs="Tw Cen MT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3A79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79FF"/>
    <w:rPr>
      <w:rFonts w:ascii="Tahoma" w:eastAsia="Tw Cen MT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15DD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C615DD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C615DD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615DD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Заголовок 3 Знак"/>
    <w:basedOn w:val="a0"/>
    <w:link w:val="3"/>
    <w:uiPriority w:val="1"/>
    <w:rsid w:val="00C615DD"/>
    <w:rPr>
      <w:rFonts w:ascii="Arial" w:eastAsia="Arial" w:hAnsi="Arial" w:cs="Arial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C615DD"/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C615DD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C615DD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C615DD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C615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15DD"/>
    <w:rPr>
      <w:rFonts w:ascii="Tw Cen MT" w:eastAsia="Tw Cen MT" w:hAnsi="Tw Cen MT" w:cs="Tw Cen MT"/>
      <w:lang w:val="en-US"/>
    </w:rPr>
  </w:style>
  <w:style w:type="paragraph" w:styleId="a9">
    <w:name w:val="footer"/>
    <w:basedOn w:val="a"/>
    <w:link w:val="aa"/>
    <w:uiPriority w:val="99"/>
    <w:unhideWhenUsed/>
    <w:rsid w:val="00C615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15DD"/>
    <w:rPr>
      <w:rFonts w:ascii="Tw Cen MT" w:eastAsia="Tw Cen MT" w:hAnsi="Tw Cen MT" w:cs="Tw Cen MT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3A79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79FF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badyrov_ruslan@b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Бадыров Руслан</dc:creator>
  <cp:lastModifiedBy>владелец</cp:lastModifiedBy>
  <cp:revision>2</cp:revision>
  <dcterms:created xsi:type="dcterms:W3CDTF">2019-07-14T17:21:00Z</dcterms:created>
  <dcterms:modified xsi:type="dcterms:W3CDTF">2019-07-14T17:21:00Z</dcterms:modified>
</cp:coreProperties>
</file>