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602E1D" w14:textId="77777777" w:rsidR="00864B8B" w:rsidRDefault="00A549DA" w:rsidP="00864B8B">
      <w:pPr>
        <w:shd w:val="clear" w:color="auto" w:fill="FFFFFF"/>
        <w:spacing w:before="240" w:after="120" w:line="324" w:lineRule="atLeast"/>
        <w:outlineLvl w:val="0"/>
        <w:rPr>
          <w:rFonts w:ascii="Times New Roman" w:eastAsia="Times New Roman" w:hAnsi="Times New Roman" w:cs="Times New Roman"/>
          <w:b/>
          <w:bCs/>
          <w:i/>
          <w:color w:val="000000"/>
          <w:kern w:val="36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/>
          <w:color w:val="000000"/>
          <w:kern w:val="36"/>
          <w:sz w:val="24"/>
          <w:szCs w:val="24"/>
        </w:rPr>
        <w:t>Prob</w:t>
      </w:r>
      <w:r w:rsidR="00262BB1">
        <w:rPr>
          <w:rFonts w:ascii="Times New Roman" w:eastAsia="Times New Roman" w:hAnsi="Times New Roman" w:cs="Times New Roman"/>
          <w:b/>
          <w:bCs/>
          <w:i/>
          <w:color w:val="000000"/>
          <w:kern w:val="3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/>
          <w:color w:val="000000"/>
          <w:kern w:val="36"/>
          <w:sz w:val="24"/>
          <w:szCs w:val="24"/>
        </w:rPr>
        <w:t>otic</w:t>
      </w:r>
      <w:r w:rsidR="00262BB1">
        <w:rPr>
          <w:rFonts w:ascii="Times New Roman" w:eastAsia="Times New Roman" w:hAnsi="Times New Roman" w:cs="Times New Roman"/>
          <w:b/>
          <w:bCs/>
          <w:i/>
          <w:color w:val="000000"/>
          <w:kern w:val="36"/>
          <w:sz w:val="24"/>
          <w:szCs w:val="24"/>
        </w:rPr>
        <w:t>-induced cytoprotection</w:t>
      </w:r>
      <w:r w:rsidR="00864B8B" w:rsidRPr="001D104A">
        <w:rPr>
          <w:rFonts w:ascii="Times New Roman" w:eastAsia="Times New Roman" w:hAnsi="Times New Roman" w:cs="Times New Roman"/>
          <w:b/>
          <w:bCs/>
          <w:i/>
          <w:color w:val="000000"/>
          <w:kern w:val="36"/>
          <w:sz w:val="24"/>
          <w:szCs w:val="24"/>
        </w:rPr>
        <w:t xml:space="preserve"> </w:t>
      </w:r>
      <w:r w:rsidR="00751D33">
        <w:rPr>
          <w:rFonts w:ascii="Times New Roman" w:eastAsia="Times New Roman" w:hAnsi="Times New Roman" w:cs="Times New Roman"/>
          <w:b/>
          <w:bCs/>
          <w:i/>
          <w:color w:val="000000"/>
          <w:kern w:val="36"/>
          <w:sz w:val="24"/>
          <w:szCs w:val="24"/>
        </w:rPr>
        <w:t xml:space="preserve">via </w:t>
      </w:r>
      <w:r w:rsidR="008101BF">
        <w:rPr>
          <w:rFonts w:ascii="Times New Roman" w:eastAsia="Times New Roman" w:hAnsi="Times New Roman" w:cs="Times New Roman"/>
          <w:b/>
          <w:bCs/>
          <w:i/>
          <w:color w:val="000000"/>
          <w:kern w:val="36"/>
          <w:sz w:val="24"/>
          <w:szCs w:val="24"/>
        </w:rPr>
        <w:t>TLR2-</w:t>
      </w:r>
      <w:r w:rsidR="00751D33">
        <w:rPr>
          <w:rFonts w:ascii="Times New Roman" w:eastAsia="Times New Roman" w:hAnsi="Times New Roman" w:cs="Times New Roman"/>
          <w:b/>
          <w:bCs/>
          <w:i/>
          <w:color w:val="000000"/>
          <w:kern w:val="36"/>
          <w:sz w:val="24"/>
          <w:szCs w:val="24"/>
        </w:rPr>
        <w:t xml:space="preserve">Myd88 signaling </w:t>
      </w:r>
      <w:r w:rsidR="00262BB1">
        <w:rPr>
          <w:rFonts w:ascii="Times New Roman" w:eastAsia="Times New Roman" w:hAnsi="Times New Roman" w:cs="Times New Roman"/>
          <w:b/>
          <w:bCs/>
          <w:i/>
          <w:color w:val="000000"/>
          <w:kern w:val="36"/>
          <w:sz w:val="24"/>
          <w:szCs w:val="24"/>
        </w:rPr>
        <w:t>in the intestine</w:t>
      </w:r>
      <w:r w:rsidR="00864B8B" w:rsidRPr="001D104A">
        <w:rPr>
          <w:rFonts w:ascii="Times New Roman" w:eastAsia="Times New Roman" w:hAnsi="Times New Roman" w:cs="Times New Roman"/>
          <w:b/>
          <w:bCs/>
          <w:i/>
          <w:color w:val="000000"/>
          <w:kern w:val="36"/>
          <w:sz w:val="24"/>
          <w:szCs w:val="24"/>
        </w:rPr>
        <w:t xml:space="preserve"> </w:t>
      </w:r>
    </w:p>
    <w:p w14:paraId="18D5E588" w14:textId="70C9703A" w:rsidR="00751D33" w:rsidRDefault="001D104A" w:rsidP="00864B8B">
      <w:pPr>
        <w:shd w:val="clear" w:color="auto" w:fill="FFFFFF"/>
        <w:spacing w:before="240" w:after="120" w:line="324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 w:rsidRPr="001D104A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u w:val="single"/>
        </w:rPr>
        <w:t>Crystal Naudin</w:t>
      </w:r>
      <w:r w:rsidR="00CB4131" w:rsidRPr="00CB413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u w:val="single"/>
          <w:vertAlign w:val="superscript"/>
        </w:rPr>
        <w:t>1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,</w:t>
      </w:r>
      <w:r w:rsidR="00751D3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 Joshua Owens</w:t>
      </w:r>
      <w:r w:rsidR="00CB4131" w:rsidRPr="00CB413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vertAlign w:val="superscript"/>
        </w:rPr>
        <w:t>1</w:t>
      </w:r>
      <w:r w:rsidR="00CB413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Liping Luo, Rheinallt Jones</w:t>
      </w:r>
    </w:p>
    <w:p w14:paraId="60D34176" w14:textId="7275E5BA" w:rsidR="00751D33" w:rsidRPr="00751D33" w:rsidRDefault="00CB4131" w:rsidP="00864B8B">
      <w:pPr>
        <w:shd w:val="clear" w:color="auto" w:fill="FFFFFF"/>
        <w:spacing w:before="240" w:after="120" w:line="324" w:lineRule="atLeas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</w:pPr>
      <w:r w:rsidRPr="00CB413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>These two authors contributed equally</w:t>
      </w:r>
    </w:p>
    <w:p w14:paraId="23832868" w14:textId="77777777" w:rsidR="00864B8B" w:rsidRDefault="001D104A" w:rsidP="00262BB1">
      <w:pPr>
        <w:pStyle w:val="ListParagraph"/>
        <w:shd w:val="clear" w:color="auto" w:fill="FFFFFF"/>
        <w:spacing w:before="240" w:after="120" w:line="324" w:lineRule="atLeast"/>
        <w:ind w:left="0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1D104A">
        <w:rPr>
          <w:rFonts w:ascii="Times New Roman" w:hAnsi="Times New Roman" w:cs="Times New Roman"/>
          <w:color w:val="000000"/>
          <w:shd w:val="clear" w:color="auto" w:fill="FFFFFF"/>
        </w:rPr>
        <w:t xml:space="preserve">Division of Gastroenterology, </w:t>
      </w:r>
      <w:proofErr w:type="spellStart"/>
      <w:r w:rsidRPr="001D104A">
        <w:rPr>
          <w:rFonts w:ascii="Times New Roman" w:hAnsi="Times New Roman" w:cs="Times New Roman"/>
          <w:color w:val="000000"/>
          <w:shd w:val="clear" w:color="auto" w:fill="FFFFFF"/>
        </w:rPr>
        <w:t>Hepatology</w:t>
      </w:r>
      <w:proofErr w:type="spellEnd"/>
      <w:r w:rsidRPr="001D104A">
        <w:rPr>
          <w:rFonts w:ascii="Times New Roman" w:hAnsi="Times New Roman" w:cs="Times New Roman"/>
          <w:color w:val="000000"/>
          <w:shd w:val="clear" w:color="auto" w:fill="FFFFFF"/>
        </w:rPr>
        <w:t xml:space="preserve"> and Nutrition, Department of Pediatrics, Emory University School of Medicine, GA, USA</w:t>
      </w:r>
    </w:p>
    <w:p w14:paraId="79B1DDC4" w14:textId="1B0B083A" w:rsidR="00D3524B" w:rsidRPr="00620391" w:rsidRDefault="00CB4131" w:rsidP="00C21C97">
      <w:pPr>
        <w:shd w:val="clear" w:color="auto" w:fill="FFFFFF"/>
        <w:spacing w:before="240" w:after="120" w:line="324" w:lineRule="atLeast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76F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use of beneficial bacteria as probiotics to promote health is widely practiced </w:t>
      </w:r>
      <w:r w:rsidR="00576F98" w:rsidRPr="00576F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however,</w:t>
      </w:r>
      <w:r w:rsidRPr="00576F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mechanisms underlying</w:t>
      </w:r>
      <w:r w:rsidR="00576F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</w:t>
      </w:r>
      <w:r w:rsidRPr="00576F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bacterial effects on the host </w:t>
      </w:r>
      <w:proofErr w:type="gramStart"/>
      <w:r w:rsidRPr="00576F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are rarely known</w:t>
      </w:r>
      <w:proofErr w:type="gramEnd"/>
      <w:r w:rsidRPr="00576F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="008E0B45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L</w:t>
      </w:r>
      <w:r w:rsidR="00D3524B" w:rsidRPr="001D10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actobacillus</w:t>
      </w:r>
      <w:r w:rsidR="00D3524B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D3524B" w:rsidRPr="001747B6">
        <w:rPr>
          <w:rFonts w:ascii="Times New Roman" w:hAnsi="Times New Roman" w:cs="Times New Roman"/>
          <w:i/>
          <w:noProof/>
          <w:color w:val="000000"/>
          <w:sz w:val="24"/>
          <w:szCs w:val="24"/>
          <w:shd w:val="clear" w:color="auto" w:fill="FFFFFF"/>
        </w:rPr>
        <w:t>rhamnosus</w:t>
      </w:r>
      <w:r w:rsidR="00D3524B" w:rsidRPr="001D104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D3524B" w:rsidRPr="00CB41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GG</w:t>
      </w:r>
      <w:r w:rsidR="00D352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3524B" w:rsidRP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(LGG)</w:t>
      </w:r>
      <w:r w:rsidR="00D352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a commonly used and extensively studied probiotic that confers health benefits to the host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including cytoprotective effects on </w:t>
      </w:r>
      <w:r w:rsidR="00F27D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gut epitheli</w:t>
      </w:r>
      <w:r w:rsidR="00F27D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um</w:t>
      </w:r>
      <w:r w:rsidR="00D352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We 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showed that another probiotic strain</w:t>
      </w:r>
      <w:r w:rsidR="00D352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namely </w:t>
      </w:r>
      <w:r w:rsidR="00D3524B" w:rsidRPr="001833C6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Lacto</w:t>
      </w:r>
      <w:r w:rsidR="00A549D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coccus lact</w:t>
      </w:r>
      <w:r w:rsidR="00F27D4C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</w:t>
      </w:r>
      <w:r w:rsidR="00A549D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s </w:t>
      </w:r>
      <w:r w:rsidR="00A549DA" w:rsidRPr="008101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(s</w:t>
      </w:r>
      <w:r w:rsidR="008101BF" w:rsidRPr="008101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ubspecies</w:t>
      </w:r>
      <w:r w:rsidR="00A549D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cremoris</w:t>
      </w:r>
      <w:r w:rsidR="00A549DA" w:rsidRPr="008101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A549DA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A549DA" w:rsidRP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 LLC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A549DA" w:rsidRP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352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elicits 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superior </w:t>
      </w:r>
      <w:r w:rsidR="00D352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cytoprotec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tion</w:t>
      </w:r>
      <w:r w:rsidR="00F27D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gut epithelia of</w:t>
      </w:r>
      <w:r w:rsidR="00D352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mice </w:t>
      </w:r>
      <w:r w:rsidR="00D352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following</w:t>
      </w:r>
      <w:r w:rsidR="00D3524B" w:rsidRPr="001833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352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expos</w:t>
      </w:r>
      <w:r w:rsidR="00A849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ure</w:t>
      </w:r>
      <w:r w:rsidR="00D352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exogenous chemical 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or radioactive </w:t>
      </w:r>
      <w:r w:rsidR="00D352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insult.</w:t>
      </w:r>
      <w:r w:rsidR="002B71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While</w:t>
      </w:r>
      <w:r w:rsidR="00D352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LGG</w:t>
      </w:r>
      <w:r w:rsidR="00D352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-induced cytoprotect</w:t>
      </w:r>
      <w:r w:rsidR="002B71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ive effects were dependent on</w:t>
      </w:r>
      <w:r w:rsidR="00D352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B71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Nox-1 </w:t>
      </w:r>
      <w:r w:rsidR="00A849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(NADPH oxidase 1)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B71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activation 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</w:t>
      </w:r>
      <w:r w:rsidR="002B71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subsequent 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ROS production, </w:t>
      </w:r>
      <w:r w:rsidR="008101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we found that 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Nox-1</w:t>
      </w:r>
      <w:r w:rsidR="00576F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deficient mice LLC retains its protective effects</w:t>
      </w:r>
      <w:r w:rsidR="008101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suggesting action via an alternate pathway</w:t>
      </w:r>
      <w:r w:rsidR="00A849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2B71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Thus, we performed </w:t>
      </w:r>
      <w:proofErr w:type="spellStart"/>
      <w:r w:rsidR="002B71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RNAseq</w:t>
      </w:r>
      <w:proofErr w:type="spellEnd"/>
      <w:r w:rsidR="002B71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analysis in colonic tissue from vehicle-treated and LLC-treated mice and identified </w:t>
      </w:r>
      <w:r w:rsidR="00F27D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importantly </w:t>
      </w:r>
      <w:r w:rsidR="002B71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that TLR2 is significantly upregulated in LLC treated mice. </w:t>
      </w:r>
      <w:r w:rsidR="00F27D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Probiotic bacteria including LGG </w:t>
      </w:r>
      <w:r w:rsidR="002B71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have been previously reported to</w:t>
      </w:r>
      <w:r w:rsidR="00A849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27D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interact with </w:t>
      </w:r>
      <w:r w:rsidR="00576F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signal through </w:t>
      </w:r>
      <w:r w:rsidR="00A849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oll-like receptor </w:t>
      </w:r>
      <w:r w:rsidR="00F27D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 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(TLR</w:t>
      </w:r>
      <w:r w:rsidR="00F27D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A54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A849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D3524B" w:rsidRPr="006203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My</w:t>
      </w:r>
      <w:r w:rsidR="00F27D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</w:t>
      </w:r>
      <w:r w:rsidR="00D3524B" w:rsidRPr="006203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88</w:t>
      </w:r>
      <w:r w:rsidR="008101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dependent</w:t>
      </w:r>
      <w:r w:rsidR="00D352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3524B" w:rsidRPr="001747B6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signaling</w:t>
      </w:r>
      <w:r w:rsidR="004B4DB3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, with other groups demonstrating that TLR2 knockout mice exhibit increased susceptibility to radiological insult.</w:t>
      </w:r>
      <w:r w:rsidR="002B714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Therefore</w:t>
      </w:r>
      <w:r w:rsidR="00C21C97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we determined whether LLC is still</w:t>
      </w:r>
      <w:r w:rsidR="002B714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</w:t>
      </w:r>
      <w:r w:rsidR="00C21C97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cyto</w:t>
      </w:r>
      <w:r w:rsidR="002B714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protective in the absence of TLR2-My</w:t>
      </w:r>
      <w:r w:rsidR="00F27D4C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D</w:t>
      </w:r>
      <w:r w:rsidR="002B714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88 signaling. LLC promoted faster </w:t>
      </w:r>
      <w:r w:rsidR="00F27D4C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epithelial migration during an </w:t>
      </w:r>
      <w:r w:rsidR="00F27D4C" w:rsidRPr="00CB4131">
        <w:rPr>
          <w:rFonts w:ascii="Times New Roman" w:hAnsi="Times New Roman" w:cs="Times New Roman"/>
          <w:i/>
          <w:noProof/>
          <w:color w:val="000000"/>
          <w:sz w:val="24"/>
          <w:szCs w:val="24"/>
          <w:shd w:val="clear" w:color="auto" w:fill="FFFFFF"/>
        </w:rPr>
        <w:t>in vitro</w:t>
      </w:r>
      <w:r w:rsidR="00F27D4C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scratch assay of </w:t>
      </w:r>
      <w:r w:rsidR="008101BF" w:rsidRPr="008101BF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intestinal epithelial </w:t>
      </w:r>
      <w:r w:rsidR="008101BF" w:rsidRPr="008101BF">
        <w:rPr>
          <w:rFonts w:ascii="Times New Roman" w:hAnsi="Times New Roman" w:cs="Times New Roman"/>
          <w:noProof/>
          <w:color w:val="000000"/>
          <w:sz w:val="24"/>
          <w:szCs w:val="24"/>
        </w:rPr>
        <w:t>Caco</w:t>
      </w:r>
      <w:r w:rsidR="008101BF" w:rsidRPr="008101BF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-2 </w:t>
      </w:r>
      <w:r w:rsidR="008101BF" w:rsidRPr="008101BF">
        <w:rPr>
          <w:rFonts w:ascii="Times New Roman" w:hAnsi="Times New Roman" w:cs="Times New Roman"/>
          <w:noProof/>
          <w:color w:val="000000"/>
          <w:sz w:val="24"/>
          <w:szCs w:val="24"/>
        </w:rPr>
        <w:t>cell</w:t>
      </w:r>
      <w:r w:rsidR="008101BF" w:rsidRPr="008101BF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 monolayer</w:t>
      </w:r>
      <w:r w:rsidR="002B714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s</w:t>
      </w:r>
      <w:r w:rsidR="00F27D4C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,</w:t>
      </w:r>
      <w:r w:rsidR="002B714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but</w:t>
      </w:r>
      <w:r w:rsidR="00F27D4C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this effect was abrogated</w:t>
      </w:r>
      <w:r w:rsidR="002B714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in the presence of a TLR2 inhibitor. </w:t>
      </w:r>
      <w:r w:rsidR="00F27D4C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Moving beyond cell culture, </w:t>
      </w:r>
      <w:r w:rsidR="002B714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LLC </w:t>
      </w:r>
      <w:r w:rsidR="00F27D4C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elicits </w:t>
      </w:r>
      <w:r w:rsidR="00F27D4C" w:rsidRPr="00CB4131">
        <w:rPr>
          <w:rFonts w:ascii="Times New Roman" w:hAnsi="Times New Roman" w:cs="Times New Roman"/>
          <w:i/>
          <w:noProof/>
          <w:color w:val="000000"/>
          <w:sz w:val="24"/>
          <w:szCs w:val="24"/>
          <w:shd w:val="clear" w:color="auto" w:fill="FFFFFF"/>
        </w:rPr>
        <w:t>in vivo</w:t>
      </w:r>
      <w:r w:rsidR="00F27D4C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</w:t>
      </w:r>
      <w:r w:rsidR="002B714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pr</w:t>
      </w:r>
      <w:r w:rsidR="00C21C97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otection</w:t>
      </w:r>
      <w:r w:rsidR="00F27D4C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during </w:t>
      </w:r>
      <w:r w:rsidR="002B714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DSS colitis or radiation injury </w:t>
      </w:r>
      <w:r w:rsidR="00F27D4C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but this effect was </w:t>
      </w:r>
      <w:r w:rsidR="002B714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significantly </w:t>
      </w:r>
      <w:r w:rsidR="00C21C97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abrogated</w:t>
      </w:r>
      <w:r w:rsidR="002B714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in My</w:t>
      </w:r>
      <w:r w:rsidR="00F27D4C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D</w:t>
      </w:r>
      <w:r w:rsidR="002B714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88 knockout mice.</w:t>
      </w:r>
      <w:r w:rsidR="008101BF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 Together, these data suggest that LLC acts via </w:t>
      </w:r>
      <w:r w:rsidR="00F27D4C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a </w:t>
      </w:r>
      <w:r w:rsidR="008101BF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TLR2-My</w:t>
      </w:r>
      <w:r w:rsidR="00F27D4C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>D</w:t>
      </w:r>
      <w:r w:rsidR="008101BF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t xml:space="preserve">88 signaling to mediate cytoprotection in intestinal epithelia. </w:t>
      </w:r>
    </w:p>
    <w:sectPr w:rsidR="00D3524B" w:rsidRPr="00620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41CA784" w16cid:durableId="207AEFA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9120A"/>
    <w:multiLevelType w:val="hybridMultilevel"/>
    <w:tmpl w:val="FE467890"/>
    <w:lvl w:ilvl="0" w:tplc="C7E4F0B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jAxMzU2MjGyMDU2NrNU0lEKTi0uzszPAykwrgUAp7zf9ywAAAA="/>
  </w:docVars>
  <w:rsids>
    <w:rsidRoot w:val="00864B8B"/>
    <w:rsid w:val="001747B6"/>
    <w:rsid w:val="001833C6"/>
    <w:rsid w:val="001D104A"/>
    <w:rsid w:val="001D1D02"/>
    <w:rsid w:val="00262BB1"/>
    <w:rsid w:val="002B7148"/>
    <w:rsid w:val="004B4DB3"/>
    <w:rsid w:val="005062FA"/>
    <w:rsid w:val="00576F98"/>
    <w:rsid w:val="00620391"/>
    <w:rsid w:val="0068407A"/>
    <w:rsid w:val="006B37A7"/>
    <w:rsid w:val="00751D33"/>
    <w:rsid w:val="007838AD"/>
    <w:rsid w:val="00804813"/>
    <w:rsid w:val="008101BF"/>
    <w:rsid w:val="00841950"/>
    <w:rsid w:val="00864B8B"/>
    <w:rsid w:val="008A146A"/>
    <w:rsid w:val="008C4122"/>
    <w:rsid w:val="008E0B45"/>
    <w:rsid w:val="008F108B"/>
    <w:rsid w:val="00A549DA"/>
    <w:rsid w:val="00A849AC"/>
    <w:rsid w:val="00A927B9"/>
    <w:rsid w:val="00BB4EE5"/>
    <w:rsid w:val="00C21C97"/>
    <w:rsid w:val="00CB4131"/>
    <w:rsid w:val="00D3524B"/>
    <w:rsid w:val="00EB7643"/>
    <w:rsid w:val="00EE5E04"/>
    <w:rsid w:val="00F27D4C"/>
    <w:rsid w:val="00F8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51CAF"/>
  <w15:chartTrackingRefBased/>
  <w15:docId w15:val="{C8C8CB6F-F880-4049-9B35-172CB4769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64B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B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864B8B"/>
  </w:style>
  <w:style w:type="character" w:styleId="Emphasis">
    <w:name w:val="Emphasis"/>
    <w:basedOn w:val="DefaultParagraphFont"/>
    <w:uiPriority w:val="20"/>
    <w:qFormat/>
    <w:rsid w:val="00864B8B"/>
    <w:rPr>
      <w:i/>
      <w:iCs/>
    </w:rPr>
  </w:style>
  <w:style w:type="paragraph" w:styleId="ListParagraph">
    <w:name w:val="List Paragraph"/>
    <w:basedOn w:val="Normal"/>
    <w:uiPriority w:val="34"/>
    <w:qFormat/>
    <w:rsid w:val="001D10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D4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D4C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27D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7D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7D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7D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7D4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CB41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9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University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Naudin, Crystal</dc:creator>
  <cp:keywords/>
  <dc:description/>
  <cp:lastModifiedBy>Naudin, Crystal</cp:lastModifiedBy>
  <cp:revision>2</cp:revision>
  <dcterms:created xsi:type="dcterms:W3CDTF">2021-10-25T19:06:00Z</dcterms:created>
  <dcterms:modified xsi:type="dcterms:W3CDTF">2021-10-25T19:06:00Z</dcterms:modified>
</cp:coreProperties>
</file>