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g"/>
  <Default Extension="png" ContentType="image/png"/>
  <Default Extension="bmp" ContentType="image/bmp"/>
  <Default Extension="gif" ContentType="image/gif"/>
  <Default Extension="tif" ContentType="image/tif"/>
  <Default Extension="pdf" ContentType="application/pdf"/>
  <Default Extension="mov" ContentType="application/movie"/>
  <Default Extension="vml" ContentType="application/vnd.openxmlformats-officedocument.vmlDrawing"/>
  <Default Extension="xlsx" ContentType="application/vnd.openxmlformats-officedocument.spreadsheetml.sheet"/>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body>
    <w:p>
      <w:pPr>
        <w:pStyle w:val="Body A"/>
        <w:jc w:val="center"/>
        <w:rPr>
          <w:rFonts w:ascii="Times New Roman" w:hAnsi="Times New Roman"/>
          <w:sz w:val="24"/>
          <w:szCs w:val="24"/>
          <w:u w:color="000000"/>
          <w:lang w:val="en-US"/>
        </w:rPr>
      </w:pPr>
    </w:p>
    <w:p>
      <w:pPr>
        <w:pStyle w:val="Body A"/>
        <w:jc w:val="center"/>
        <w:rPr>
          <w:rFonts w:ascii="Times New Roman" w:cs="Times New Roman" w:hAnsi="Times New Roman" w:eastAsia="Times New Roman"/>
          <w:b w:val="1"/>
          <w:bCs w:val="1"/>
          <w:caps w:val="1"/>
          <w:sz w:val="28"/>
          <w:szCs w:val="28"/>
          <w:u w:color="000000"/>
        </w:rPr>
      </w:pPr>
      <w:r>
        <w:rPr>
          <w:rFonts w:ascii="Times New Roman" w:hAnsi="Times New Roman"/>
          <w:b w:val="1"/>
          <w:bCs w:val="1"/>
          <w:caps w:val="1"/>
          <w:sz w:val="28"/>
          <w:szCs w:val="28"/>
          <w:rtl w:val="0"/>
          <w:lang w:val="en-US"/>
        </w:rPr>
        <w:t xml:space="preserve">The cytoprotective effect of the tripeptides </w:t>
      </w:r>
      <w:r>
        <w:rPr>
          <w:rFonts w:ascii="Times New Roman" w:hAnsi="Times New Roman"/>
          <w:b w:val="1"/>
          <w:bCs w:val="1"/>
          <w:caps w:val="1"/>
          <w:outline w:val="0"/>
          <w:color w:val="222222"/>
          <w:sz w:val="28"/>
          <w:szCs w:val="28"/>
          <w:u w:color="222222"/>
          <w:rtl w:val="0"/>
          <w:lang w:val="en-US"/>
          <w14:textFill>
            <w14:solidFill>
              <w14:srgbClr w14:val="222222"/>
            </w14:solidFill>
          </w14:textFill>
        </w:rPr>
        <w:t xml:space="preserve">H-Glu-Asp-Gly-OH and </w:t>
      </w:r>
      <w:r>
        <w:rPr>
          <w:rFonts w:ascii="Times New Roman" w:hAnsi="Times New Roman"/>
          <w:b w:val="1"/>
          <w:bCs w:val="1"/>
          <w:caps w:val="1"/>
          <w:outline w:val="0"/>
          <w:color w:val="222222"/>
          <w:sz w:val="28"/>
          <w:szCs w:val="28"/>
          <w:u w:color="222222"/>
          <w:rtl w:val="0"/>
          <w14:textFill>
            <w14:solidFill>
              <w14:srgbClr w14:val="222222"/>
            </w14:solidFill>
          </w14:textFill>
        </w:rPr>
        <w:t>H-Lys-Glu-Asp-OH</w:t>
      </w:r>
      <w:r>
        <w:rPr>
          <w:rFonts w:ascii="Times New Roman" w:hAnsi="Times New Roman"/>
          <w:b w:val="1"/>
          <w:bCs w:val="1"/>
          <w:caps w:val="1"/>
          <w:outline w:val="0"/>
          <w:color w:val="222222"/>
          <w:sz w:val="28"/>
          <w:szCs w:val="28"/>
          <w:u w:color="222222"/>
          <w:rtl w:val="0"/>
          <w:lang w:val="en-US"/>
          <w14:textFill>
            <w14:solidFill>
              <w14:srgbClr w14:val="222222"/>
            </w14:solidFill>
          </w14:textFill>
        </w:rPr>
        <w:t xml:space="preserve"> in indomethacin-induced enteropathy</w:t>
      </w:r>
      <w:r>
        <w:rPr>
          <w:rFonts w:ascii="Times New Roman" w:hAnsi="Times New Roman"/>
          <w:b w:val="1"/>
          <w:bCs w:val="1"/>
          <w:caps w:val="1"/>
          <w:sz w:val="28"/>
          <w:szCs w:val="28"/>
          <w:rtl w:val="0"/>
          <w:lang w:val="en-US"/>
        </w:rPr>
        <w:t xml:space="preserve"> in rats</w:t>
      </w:r>
    </w:p>
    <w:p>
      <w:pPr>
        <w:pStyle w:val="Body A"/>
        <w:jc w:val="both"/>
        <w:rPr>
          <w:rFonts w:ascii="Times New Roman" w:cs="Times New Roman" w:hAnsi="Times New Roman" w:eastAsia="Times New Roman"/>
          <w:b w:val="1"/>
          <w:bCs w:val="1"/>
          <w:sz w:val="28"/>
          <w:szCs w:val="28"/>
          <w:u w:color="000000"/>
        </w:rPr>
      </w:pPr>
      <w:r>
        <w:rPr>
          <w:rFonts w:ascii="Times New Roman" w:hAnsi="Times New Roman"/>
          <w:b w:val="1"/>
          <w:bCs w:val="1"/>
          <w:sz w:val="28"/>
          <w:szCs w:val="28"/>
          <w:u w:color="000000"/>
          <w:rtl w:val="0"/>
          <w:lang w:val="en-US"/>
        </w:rPr>
        <w:t>Nasadyuk C.M., MD, PhD, Department of Biochemistry, Danylo Halytsky Lviv National Medical University, Lviv, Ukraine</w:t>
      </w:r>
    </w:p>
    <w:p>
      <w:pPr>
        <w:pStyle w:val="Body A"/>
        <w:jc w:val="both"/>
        <w:rPr>
          <w:rFonts w:ascii="Times New Roman" w:cs="Times New Roman" w:hAnsi="Times New Roman" w:eastAsia="Times New Roman"/>
          <w:b w:val="1"/>
          <w:bCs w:val="1"/>
          <w:sz w:val="28"/>
          <w:szCs w:val="28"/>
          <w:u w:color="000000"/>
        </w:rPr>
      </w:pPr>
      <w:r>
        <w:rPr>
          <w:rFonts w:ascii="Times New Roman" w:hAnsi="Times New Roman"/>
          <w:b w:val="1"/>
          <w:bCs w:val="1"/>
          <w:sz w:val="28"/>
          <w:szCs w:val="28"/>
          <w:u w:color="000000"/>
          <w:rtl w:val="0"/>
          <w:lang w:val="en-US"/>
        </w:rPr>
        <w:t>Sklyarov A.Y., MD, PhD, Dr.med.sci., Department of Biochemistry, Danylo Halytsky Lviv National Medical University, Lviv, Ukraine</w:t>
      </w:r>
    </w:p>
    <w:p>
      <w:pPr>
        <w:pStyle w:val="Body A"/>
        <w:jc w:val="both"/>
        <w:rPr>
          <w:rFonts w:ascii="Times New Roman" w:cs="Times New Roman" w:hAnsi="Times New Roman" w:eastAsia="Times New Roman"/>
          <w:outline w:val="0"/>
          <w:color w:val="222222"/>
          <w:sz w:val="28"/>
          <w:szCs w:val="28"/>
          <w:u w:color="222222"/>
          <w14:textFill>
            <w14:solidFill>
              <w14:srgbClr w14:val="222222"/>
            </w14:solidFill>
          </w14:textFill>
        </w:rPr>
      </w:pPr>
      <w:r>
        <w:rPr>
          <w:rFonts w:ascii="Times New Roman" w:cs="Times New Roman" w:hAnsi="Times New Roman" w:eastAsia="Times New Roman"/>
          <w:sz w:val="28"/>
          <w:szCs w:val="28"/>
          <w:u w:color="000000"/>
          <w:lang w:val="en-US"/>
        </w:rPr>
        <w:tab/>
      </w:r>
      <w:r>
        <w:rPr>
          <w:rFonts w:ascii="Times New Roman" w:hAnsi="Times New Roman"/>
          <w:b w:val="1"/>
          <w:bCs w:val="1"/>
          <w:sz w:val="28"/>
          <w:szCs w:val="28"/>
          <w:u w:color="000000"/>
          <w:rtl w:val="0"/>
          <w:lang w:val="en-US"/>
        </w:rPr>
        <w:t>Introduction.</w:t>
      </w:r>
      <w:r>
        <w:rPr>
          <w:rFonts w:ascii="Times New Roman" w:hAnsi="Times New Roman"/>
          <w:sz w:val="28"/>
          <w:szCs w:val="28"/>
          <w:u w:color="000000"/>
          <w:rtl w:val="0"/>
          <w:lang w:val="en-US"/>
        </w:rPr>
        <w:t xml:space="preserve"> Nonsteroidal antiinflammatory drugs (NSAIDs) remain the most widely prescribed medications worldwide. Despite generally accepted strategies to reduce the side effects of these drugs towards stomach mucosa, there is increasing evidence that enteric mucosa is also susceptible to NSAIDs toxicity. However, uptodate medicine provides limited options for small intestine protection in chronic NSAIDs users. Short peptides were repeatedly reported to be promising agents for gastroprotective purposes </w:t>
      </w:r>
      <w:r>
        <w:rPr>
          <w:rFonts w:ascii="Times New Roman" w:hAnsi="Times New Roman"/>
          <w:outline w:val="0"/>
          <w:color w:val="222222"/>
          <w:sz w:val="28"/>
          <w:szCs w:val="28"/>
          <w:u w:color="222222"/>
          <w:rtl w:val="0"/>
          <w:lang w:val="en-US"/>
          <w14:textFill>
            <w14:solidFill>
              <w14:srgbClr w14:val="222222"/>
            </w14:solidFill>
          </w14:textFill>
        </w:rPr>
        <w:t xml:space="preserve">[1,2]. </w:t>
      </w:r>
    </w:p>
    <w:p>
      <w:pPr>
        <w:pStyle w:val="Body A"/>
        <w:jc w:val="both"/>
        <w:rPr>
          <w:rFonts w:ascii="Times New Roman" w:cs="Times New Roman" w:hAnsi="Times New Roman" w:eastAsia="Times New Roman"/>
          <w:outline w:val="0"/>
          <w:color w:val="222222"/>
          <w:sz w:val="28"/>
          <w:szCs w:val="28"/>
          <w:u w:color="222222"/>
          <w14:textFill>
            <w14:solidFill>
              <w14:srgbClr w14:val="222222"/>
            </w14:solidFill>
          </w14:textFill>
        </w:rPr>
      </w:pPr>
      <w:r>
        <w:rPr>
          <w:rFonts w:ascii="Times New Roman" w:cs="Times New Roman" w:hAnsi="Times New Roman" w:eastAsia="Times New Roman"/>
          <w:outline w:val="0"/>
          <w:color w:val="222222"/>
          <w:sz w:val="28"/>
          <w:szCs w:val="28"/>
          <w:u w:color="222222"/>
          <w:rtl w:val="0"/>
          <w:lang w:val="en-US"/>
          <w14:textFill>
            <w14:solidFill>
              <w14:srgbClr w14:val="222222"/>
            </w14:solidFill>
          </w14:textFill>
        </w:rPr>
        <w:tab/>
        <w:t xml:space="preserve">Aim of research was to assess the effect of H-Glu-Asp-Gly-OH and </w:t>
      </w:r>
      <w:r>
        <w:rPr>
          <w:rFonts w:ascii="Times New Roman" w:hAnsi="Times New Roman"/>
          <w:outline w:val="0"/>
          <w:color w:val="222222"/>
          <w:sz w:val="28"/>
          <w:szCs w:val="28"/>
          <w:u w:color="222222"/>
          <w:rtl w:val="0"/>
          <w14:textFill>
            <w14:solidFill>
              <w14:srgbClr w14:val="222222"/>
            </w14:solidFill>
          </w14:textFill>
        </w:rPr>
        <w:t>H-Lys-Glu-Asp-OH</w:t>
      </w:r>
      <w:r>
        <w:rPr>
          <w:rFonts w:ascii="Times New Roman" w:hAnsi="Times New Roman"/>
          <w:outline w:val="0"/>
          <w:color w:val="222222"/>
          <w:sz w:val="28"/>
          <w:szCs w:val="28"/>
          <w:u w:color="222222"/>
          <w:rtl w:val="0"/>
          <w:lang w:val="en-US"/>
          <w14:textFill>
            <w14:solidFill>
              <w14:srgbClr w14:val="222222"/>
            </w14:solidFill>
          </w14:textFill>
        </w:rPr>
        <w:t xml:space="preserve"> on </w:t>
      </w:r>
      <w:r>
        <w:rPr>
          <w:rFonts w:ascii="Times New Roman" w:hAnsi="Times New Roman"/>
          <w:sz w:val="28"/>
          <w:szCs w:val="28"/>
          <w:u w:color="000000"/>
          <w:rtl w:val="0"/>
          <w:lang w:val="en-US"/>
        </w:rPr>
        <w:t>NO-synthases (NOS) activity and lipid peroxidation processes in small intestinal mucosa (SIM).</w:t>
      </w:r>
    </w:p>
    <w:p>
      <w:pPr>
        <w:pStyle w:val="Body A"/>
        <w:jc w:val="both"/>
        <w:rPr>
          <w:rFonts w:ascii="Times New Roman" w:cs="Times New Roman" w:hAnsi="Times New Roman" w:eastAsia="Times New Roman"/>
          <w:sz w:val="28"/>
          <w:szCs w:val="28"/>
          <w:u w:color="000000"/>
        </w:rPr>
      </w:pPr>
      <w:r>
        <w:rPr>
          <w:rFonts w:ascii="Times New Roman" w:cs="Times New Roman" w:hAnsi="Times New Roman" w:eastAsia="Times New Roman"/>
          <w:outline w:val="0"/>
          <w:color w:val="222222"/>
          <w:sz w:val="28"/>
          <w:szCs w:val="28"/>
          <w:u w:color="222222"/>
          <w14:textFill>
            <w14:solidFill>
              <w14:srgbClr w14:val="222222"/>
            </w14:solidFill>
          </w14:textFill>
        </w:rPr>
        <w:tab/>
      </w:r>
      <w:r>
        <w:rPr>
          <w:rFonts w:ascii="Times New Roman" w:hAnsi="Times New Roman"/>
          <w:b w:val="1"/>
          <w:bCs w:val="1"/>
          <w:outline w:val="0"/>
          <w:color w:val="222222"/>
          <w:sz w:val="28"/>
          <w:szCs w:val="28"/>
          <w:u w:color="222222"/>
          <w:rtl w:val="0"/>
          <w:lang w:val="en-US"/>
          <w14:textFill>
            <w14:solidFill>
              <w14:srgbClr w14:val="222222"/>
            </w14:solidFill>
          </w14:textFill>
        </w:rPr>
        <w:t>Material and methods.</w:t>
      </w:r>
      <w:r>
        <w:rPr>
          <w:rFonts w:ascii="Times New Roman" w:hAnsi="Times New Roman"/>
          <w:outline w:val="0"/>
          <w:color w:val="222222"/>
          <w:sz w:val="28"/>
          <w:szCs w:val="28"/>
          <w:u w:color="222222"/>
          <w:rtl w:val="0"/>
          <w:lang w:val="en-US"/>
          <w14:textFill>
            <w14:solidFill>
              <w14:srgbClr w14:val="222222"/>
            </w14:solidFill>
          </w14:textFill>
        </w:rPr>
        <w:t xml:space="preserve"> Studies were conducted on white male rats, devided into 4 groups (n=6 per group): 1) control</w:t>
      </w:r>
      <w:r>
        <w:rPr>
          <w:rFonts w:ascii="Times New Roman" w:hAnsi="Times New Roman" w:hint="default"/>
          <w:outline w:val="0"/>
          <w:color w:val="222222"/>
          <w:sz w:val="28"/>
          <w:szCs w:val="28"/>
          <w:u w:color="222222"/>
          <w:rtl w:val="0"/>
          <w14:textFill>
            <w14:solidFill>
              <w14:srgbClr w14:val="222222"/>
            </w14:solidFill>
          </w14:textFill>
        </w:rPr>
        <w:t xml:space="preserve">; </w:t>
      </w:r>
      <w:r>
        <w:rPr>
          <w:rFonts w:ascii="Times New Roman" w:hAnsi="Times New Roman"/>
          <w:outline w:val="0"/>
          <w:color w:val="222222"/>
          <w:sz w:val="28"/>
          <w:szCs w:val="28"/>
          <w:u w:color="222222"/>
          <w:rtl w:val="0"/>
          <w:lang w:val="en-US"/>
          <w14:textFill>
            <w14:solidFill>
              <w14:srgbClr w14:val="222222"/>
            </w14:solidFill>
          </w14:textFill>
        </w:rPr>
        <w:t>2) intragastrically (ig) administered indometh</w:t>
      </w:r>
      <w:r>
        <w:rPr>
          <w:rFonts w:ascii="Times New Roman" w:hAnsi="Times New Roman"/>
          <w:outline w:val="0"/>
          <w:color w:val="222222"/>
          <w:sz w:val="28"/>
          <w:szCs w:val="28"/>
          <w:u w:color="222222"/>
          <w:rtl w:val="0"/>
          <w14:textFill>
            <w14:solidFill>
              <w14:srgbClr w14:val="222222"/>
            </w14:solidFill>
          </w14:textFill>
        </w:rPr>
        <w:t>acin (</w:t>
      </w:r>
      <w:r>
        <w:rPr>
          <w:rFonts w:ascii="Times New Roman" w:hAnsi="Times New Roman"/>
          <w:outline w:val="0"/>
          <w:color w:val="222222"/>
          <w:sz w:val="28"/>
          <w:szCs w:val="28"/>
          <w:u w:color="222222"/>
          <w:rtl w:val="0"/>
          <w:lang w:val="en-US"/>
          <w14:textFill>
            <w14:solidFill>
              <w14:srgbClr w14:val="222222"/>
            </w14:solidFill>
          </w14:textFill>
        </w:rPr>
        <w:t>IND</w:t>
      </w:r>
      <w:r>
        <w:rPr>
          <w:rFonts w:ascii="Times New Roman" w:hAnsi="Times New Roman"/>
          <w:outline w:val="0"/>
          <w:color w:val="222222"/>
          <w:sz w:val="28"/>
          <w:szCs w:val="28"/>
          <w:u w:color="222222"/>
          <w:rtl w:val="0"/>
          <w14:textFill>
            <w14:solidFill>
              <w14:srgbClr w14:val="222222"/>
            </w14:solidFill>
          </w14:textFill>
        </w:rPr>
        <w:t xml:space="preserve">), </w:t>
      </w:r>
      <w:r>
        <w:rPr>
          <w:rFonts w:ascii="Times New Roman" w:hAnsi="Times New Roman"/>
          <w:outline w:val="0"/>
          <w:color w:val="222222"/>
          <w:sz w:val="28"/>
          <w:szCs w:val="28"/>
          <w:u w:color="222222"/>
          <w:rtl w:val="0"/>
          <w:lang w:val="en-US"/>
          <w14:textFill>
            <w14:solidFill>
              <w14:srgbClr w14:val="222222"/>
            </w14:solidFill>
          </w14:textFill>
        </w:rPr>
        <w:t>10</w:t>
      </w:r>
      <w:r>
        <w:rPr>
          <w:rFonts w:ascii="Times New Roman" w:hAnsi="Times New Roman"/>
          <w:outline w:val="0"/>
          <w:color w:val="222222"/>
          <w:sz w:val="28"/>
          <w:szCs w:val="28"/>
          <w:u w:color="222222"/>
          <w:rtl w:val="0"/>
          <w14:textFill>
            <w14:solidFill>
              <w14:srgbClr w14:val="222222"/>
            </w14:solidFill>
          </w14:textFill>
        </w:rPr>
        <w:t xml:space="preserve"> mg/kg</w:t>
      </w:r>
      <w:r>
        <w:rPr>
          <w:rFonts w:ascii="Times New Roman" w:hAnsi="Times New Roman" w:hint="default"/>
          <w:outline w:val="0"/>
          <w:color w:val="222222"/>
          <w:sz w:val="28"/>
          <w:szCs w:val="28"/>
          <w:u w:color="222222"/>
          <w:rtl w:val="0"/>
          <w14:textFill>
            <w14:solidFill>
              <w14:srgbClr w14:val="222222"/>
            </w14:solidFill>
          </w14:textFill>
        </w:rPr>
        <w:t xml:space="preserve">; </w:t>
      </w:r>
      <w:r>
        <w:rPr>
          <w:rFonts w:ascii="Times New Roman" w:hAnsi="Times New Roman"/>
          <w:outline w:val="0"/>
          <w:color w:val="222222"/>
          <w:sz w:val="28"/>
          <w:szCs w:val="28"/>
          <w:u w:color="222222"/>
          <w:rtl w:val="0"/>
          <w14:textFill>
            <w14:solidFill>
              <w14:srgbClr w14:val="222222"/>
            </w14:solidFill>
          </w14:textFill>
        </w:rPr>
        <w:t>3</w:t>
      </w:r>
      <w:r>
        <w:rPr>
          <w:rFonts w:ascii="Times New Roman" w:hAnsi="Times New Roman"/>
          <w:outline w:val="0"/>
          <w:color w:val="222222"/>
          <w:sz w:val="28"/>
          <w:szCs w:val="28"/>
          <w:u w:color="222222"/>
          <w:rtl w:val="0"/>
          <w:lang w:val="en-US"/>
          <w14:textFill>
            <w14:solidFill>
              <w14:srgbClr w14:val="222222"/>
            </w14:solidFill>
          </w14:textFill>
        </w:rPr>
        <w:t>-4) ig pretreated with H-Glu-Asp-Gly-OH</w:t>
      </w:r>
      <w:r>
        <w:rPr>
          <w:rFonts w:ascii="Times New Roman" w:hAnsi="Times New Roman"/>
          <w:outline w:val="0"/>
          <w:color w:val="222222"/>
          <w:sz w:val="28"/>
          <w:szCs w:val="28"/>
          <w:u w:color="222222"/>
          <w:rtl w:val="0"/>
          <w14:textFill>
            <w14:solidFill>
              <w14:srgbClr w14:val="222222"/>
            </w14:solidFill>
          </w14:textFill>
        </w:rPr>
        <w:t xml:space="preserve"> </w:t>
      </w:r>
      <w:r>
        <w:rPr>
          <w:rFonts w:ascii="Times New Roman" w:hAnsi="Times New Roman"/>
          <w:outline w:val="0"/>
          <w:color w:val="222222"/>
          <w:sz w:val="28"/>
          <w:szCs w:val="28"/>
          <w:u w:color="222222"/>
          <w:rtl w:val="0"/>
          <w:lang w:val="en-US"/>
          <w14:textFill>
            <w14:solidFill>
              <w14:srgbClr w14:val="222222"/>
            </w14:solidFill>
          </w14:textFill>
        </w:rPr>
        <w:t xml:space="preserve">and H-Lys-Glu-Asp-OH </w:t>
      </w:r>
      <w:r>
        <w:rPr>
          <w:rFonts w:ascii="Times New Roman" w:hAnsi="Times New Roman"/>
          <w:outline w:val="0"/>
          <w:color w:val="222222"/>
          <w:sz w:val="28"/>
          <w:szCs w:val="28"/>
          <w:u w:color="222222"/>
          <w:rtl w:val="0"/>
          <w14:textFill>
            <w14:solidFill>
              <w14:srgbClr w14:val="222222"/>
            </w14:solidFill>
          </w14:textFill>
        </w:rPr>
        <w:t>(10</w:t>
      </w:r>
      <w:r>
        <w:rPr>
          <w:rFonts w:ascii="Times New Roman" w:hAnsi="Times New Roman" w:hint="default"/>
          <w:outline w:val="0"/>
          <w:color w:val="222222"/>
          <w:sz w:val="28"/>
          <w:szCs w:val="28"/>
          <w:u w:color="222222"/>
          <w:rtl w:val="0"/>
          <w14:textFill>
            <w14:solidFill>
              <w14:srgbClr w14:val="222222"/>
            </w14:solidFill>
          </w14:textFill>
        </w:rPr>
        <w:t>µ</w:t>
      </w:r>
      <w:r>
        <w:rPr>
          <w:rFonts w:ascii="Times New Roman" w:hAnsi="Times New Roman"/>
          <w:outline w:val="0"/>
          <w:color w:val="222222"/>
          <w:sz w:val="28"/>
          <w:szCs w:val="28"/>
          <w:u w:color="222222"/>
          <w:rtl w:val="0"/>
          <w14:textFill>
            <w14:solidFill>
              <w14:srgbClr w14:val="222222"/>
            </w14:solidFill>
          </w14:textFill>
        </w:rPr>
        <w:t>g)</w:t>
      </w:r>
      <w:r>
        <w:rPr>
          <w:rFonts w:ascii="Times New Roman" w:hAnsi="Times New Roman"/>
          <w:outline w:val="0"/>
          <w:color w:val="222222"/>
          <w:sz w:val="28"/>
          <w:szCs w:val="28"/>
          <w:u w:color="222222"/>
          <w:rtl w:val="0"/>
          <w:lang w:val="en-US"/>
          <w14:textFill>
            <w14:solidFill>
              <w14:srgbClr w14:val="222222"/>
            </w14:solidFill>
          </w14:textFill>
        </w:rPr>
        <w:t xml:space="preserve"> ig 30 min before IND</w:t>
      </w:r>
      <w:r>
        <w:rPr>
          <w:rFonts w:ascii="Times New Roman" w:hAnsi="Times New Roman"/>
          <w:outline w:val="0"/>
          <w:color w:val="222222"/>
          <w:sz w:val="28"/>
          <w:szCs w:val="28"/>
          <w:u w:color="222222"/>
          <w:rtl w:val="0"/>
          <w:lang w:val="fr-FR"/>
          <w14:textFill>
            <w14:solidFill>
              <w14:srgbClr w14:val="222222"/>
            </w14:solidFill>
          </w14:textFill>
        </w:rPr>
        <w:t xml:space="preserve"> introduction</w:t>
      </w:r>
      <w:r>
        <w:rPr>
          <w:rFonts w:ascii="Times New Roman" w:hAnsi="Times New Roman"/>
          <w:outline w:val="0"/>
          <w:color w:val="222222"/>
          <w:sz w:val="28"/>
          <w:szCs w:val="28"/>
          <w:u w:color="222222"/>
          <w:rtl w:val="0"/>
          <w:lang w:val="en-US"/>
          <w14:textFill>
            <w14:solidFill>
              <w14:srgbClr w14:val="222222"/>
            </w14:solidFill>
          </w14:textFill>
        </w:rPr>
        <w:t xml:space="preserve">. 24h later rats were sacrificed, small intestine was isolated, washed with saline, exposed to </w:t>
      </w:r>
      <w:r>
        <w:rPr>
          <w:rFonts w:ascii="Times New Roman" w:hAnsi="Times New Roman"/>
          <w:sz w:val="28"/>
          <w:szCs w:val="28"/>
          <w:u w:color="000000"/>
          <w:rtl w:val="0"/>
          <w:lang w:val="en-US"/>
        </w:rPr>
        <w:t>gross inspection and in SIM homogenates NOS activity and MDA content were determined. In blood plasma L-arginine concentration was measured.</w:t>
      </w:r>
    </w:p>
    <w:p>
      <w:pPr>
        <w:pStyle w:val="Body A"/>
        <w:jc w:val="both"/>
        <w:rPr>
          <w:rFonts w:ascii="Times New Roman" w:cs="Times New Roman" w:hAnsi="Times New Roman" w:eastAsia="Times New Roman"/>
          <w:outline w:val="0"/>
          <w:color w:val="222222"/>
          <w:sz w:val="28"/>
          <w:szCs w:val="28"/>
          <w:u w:color="222222"/>
          <w14:textFill>
            <w14:solidFill>
              <w14:srgbClr w14:val="222222"/>
            </w14:solidFill>
          </w14:textFill>
        </w:rPr>
      </w:pPr>
      <w:r>
        <w:rPr>
          <w:rFonts w:ascii="Times New Roman" w:cs="Times New Roman" w:hAnsi="Times New Roman" w:eastAsia="Times New Roman"/>
          <w:sz w:val="28"/>
          <w:szCs w:val="28"/>
          <w:u w:color="000000"/>
          <w:lang w:val="en-US"/>
        </w:rPr>
        <w:tab/>
      </w:r>
      <w:r>
        <w:rPr>
          <w:rFonts w:ascii="Times New Roman" w:hAnsi="Times New Roman"/>
          <w:b w:val="1"/>
          <w:bCs w:val="1"/>
          <w:sz w:val="28"/>
          <w:szCs w:val="28"/>
          <w:u w:color="000000"/>
          <w:rtl w:val="0"/>
          <w:lang w:val="en-US"/>
        </w:rPr>
        <w:t xml:space="preserve">Results. </w:t>
      </w:r>
      <w:r>
        <w:rPr>
          <w:rFonts w:ascii="Times New Roman" w:hAnsi="Times New Roman"/>
          <w:sz w:val="28"/>
          <w:szCs w:val="28"/>
          <w:u w:color="000000"/>
          <w:rtl w:val="0"/>
          <w:lang w:val="en-US"/>
        </w:rPr>
        <w:t xml:space="preserve">Gross inspection of SIM did not reveal any visible lesions in experimental animals. However, biochemical investigations of SIM homogenates revealed that nonselective cyclooxygenase (COX)-1/COX-2 blockage with IND caused the development of nitrosooxidative stress. In SIM of IND-treated rats the increase of activities of NOS (28%, p&lt;0.05) and iNOS (35%, p&lt;0.05) was revealed, cNOS activity had tendency to decrease and L-arginine concentration in plasma decreased by 40% (p&lt;0.05) compared to control group. MDA content increased by 35% (p&lt;0.05) compared to control animals. In </w:t>
      </w:r>
      <w:r>
        <w:rPr>
          <w:rFonts w:ascii="Times New Roman" w:hAnsi="Times New Roman"/>
          <w:outline w:val="0"/>
          <w:color w:val="222222"/>
          <w:sz w:val="28"/>
          <w:szCs w:val="28"/>
          <w:u w:color="222222"/>
          <w:rtl w:val="0"/>
          <w:lang w:val="en-US"/>
          <w14:textFill>
            <w14:solidFill>
              <w14:srgbClr w14:val="222222"/>
            </w14:solidFill>
          </w14:textFill>
        </w:rPr>
        <w:t xml:space="preserve">H-Lys-Glu-Asp-OH-pretreated rats iNOS activity decreased by 26% </w:t>
      </w:r>
      <w:r>
        <w:rPr>
          <w:rFonts w:ascii="Times New Roman" w:hAnsi="Times New Roman"/>
          <w:sz w:val="28"/>
          <w:szCs w:val="28"/>
          <w:u w:color="000000"/>
          <w:rtl w:val="0"/>
          <w:lang w:val="en-US"/>
        </w:rPr>
        <w:t xml:space="preserve">(p&lt;0.05) in SIM and L-arginine concentartion in plasma increased by 27% (p&lt;0.05) compared to the effect of IND. Pretreatment with </w:t>
      </w:r>
      <w:r>
        <w:rPr>
          <w:rFonts w:ascii="Times New Roman" w:hAnsi="Times New Roman"/>
          <w:outline w:val="0"/>
          <w:color w:val="222222"/>
          <w:sz w:val="28"/>
          <w:szCs w:val="28"/>
          <w:u w:color="222222"/>
          <w:rtl w:val="0"/>
          <w:lang w:val="en-US"/>
          <w14:textFill>
            <w14:solidFill>
              <w14:srgbClr w14:val="222222"/>
            </w14:solidFill>
          </w14:textFill>
        </w:rPr>
        <w:t>H-Glu-Asp-Gly-OH did not cause any statistically significant difference in nitrosooxidative stress indices in SIM and blood plasma, however a tendency to decrease of iNOS activity in SIM, compared to isolated effect of IND, was noted.</w:t>
      </w:r>
    </w:p>
    <w:p>
      <w:pPr>
        <w:pStyle w:val="Body A"/>
        <w:jc w:val="both"/>
        <w:rPr>
          <w:rFonts w:ascii="Times New Roman" w:cs="Times New Roman" w:hAnsi="Times New Roman" w:eastAsia="Times New Roman"/>
          <w:sz w:val="28"/>
          <w:szCs w:val="28"/>
          <w:u w:color="000000"/>
        </w:rPr>
      </w:pPr>
      <w:r>
        <w:rPr>
          <w:rFonts w:ascii="Times New Roman" w:cs="Times New Roman" w:hAnsi="Times New Roman" w:eastAsia="Times New Roman"/>
          <w:outline w:val="0"/>
          <w:color w:val="222222"/>
          <w:sz w:val="28"/>
          <w:szCs w:val="28"/>
          <w:u w:color="222222"/>
          <w14:textFill>
            <w14:solidFill>
              <w14:srgbClr w14:val="222222"/>
            </w14:solidFill>
          </w14:textFill>
        </w:rPr>
        <w:tab/>
      </w:r>
      <w:r>
        <w:rPr>
          <w:rFonts w:ascii="Times New Roman" w:hAnsi="Times New Roman"/>
          <w:b w:val="1"/>
          <w:bCs w:val="1"/>
          <w:outline w:val="0"/>
          <w:color w:val="222222"/>
          <w:sz w:val="28"/>
          <w:szCs w:val="28"/>
          <w:u w:color="222222"/>
          <w:rtl w:val="0"/>
          <w:lang w:val="en-US"/>
          <w14:textFill>
            <w14:solidFill>
              <w14:srgbClr w14:val="222222"/>
            </w14:solidFill>
          </w14:textFill>
        </w:rPr>
        <w:t>Conclusions.</w:t>
      </w:r>
      <w:r>
        <w:rPr>
          <w:rFonts w:ascii="Times New Roman" w:hAnsi="Times New Roman"/>
          <w:outline w:val="0"/>
          <w:color w:val="222222"/>
          <w:sz w:val="28"/>
          <w:szCs w:val="28"/>
          <w:u w:color="222222"/>
          <w:rtl w:val="0"/>
          <w:lang w:val="en-US"/>
          <w14:textFill>
            <w14:solidFill>
              <w14:srgbClr w14:val="222222"/>
            </w14:solidFill>
          </w14:textFill>
        </w:rPr>
        <w:t xml:space="preserve"> Nonselectice COX-1/-2 blockage with</w:t>
      </w:r>
      <w:r>
        <w:rPr>
          <w:rFonts w:ascii="Times New Roman" w:hAnsi="Times New Roman"/>
          <w:outline w:val="0"/>
          <w:color w:val="222222"/>
          <w:sz w:val="28"/>
          <w:szCs w:val="28"/>
          <w:u w:color="222222"/>
          <w:rtl w:val="0"/>
          <w14:textFill>
            <w14:solidFill>
              <w14:srgbClr w14:val="222222"/>
            </w14:solidFill>
          </w14:textFill>
        </w:rPr>
        <w:t xml:space="preserve"> </w:t>
      </w:r>
      <w:r>
        <w:rPr>
          <w:rFonts w:ascii="Times New Roman" w:hAnsi="Times New Roman"/>
          <w:outline w:val="0"/>
          <w:color w:val="222222"/>
          <w:sz w:val="28"/>
          <w:szCs w:val="28"/>
          <w:u w:color="222222"/>
          <w:rtl w:val="0"/>
          <w:lang w:val="en-US"/>
          <w14:textFill>
            <w14:solidFill>
              <w14:srgbClr w14:val="222222"/>
            </w14:solidFill>
          </w14:textFill>
        </w:rPr>
        <w:t>IND causes nitrosooxidative stress in SIM. Tripeptide H-Lys-Glu-Asp-OH  reversed pathobiochemical changes in SIM, induced by COX-1/COX-2 blockage and its molecular mechanism of action needs further elucidation.</w:t>
      </w:r>
    </w:p>
    <w:p>
      <w:pPr>
        <w:pStyle w:val="Body A"/>
        <w:jc w:val="both"/>
        <w:rPr>
          <w:rFonts w:ascii="Times New Roman" w:cs="Times New Roman" w:hAnsi="Times New Roman" w:eastAsia="Times New Roman"/>
          <w:b w:val="1"/>
          <w:bCs w:val="1"/>
          <w:sz w:val="28"/>
          <w:szCs w:val="28"/>
          <w:u w:color="000000"/>
        </w:rPr>
      </w:pPr>
      <w:r>
        <w:rPr>
          <w:rFonts w:ascii="Times New Roman" w:cs="Times New Roman" w:hAnsi="Times New Roman" w:eastAsia="Times New Roman"/>
          <w:b w:val="1"/>
          <w:bCs w:val="1"/>
          <w:sz w:val="28"/>
          <w:szCs w:val="28"/>
          <w:u w:color="000000"/>
          <w:rtl w:val="0"/>
          <w:lang w:val="en-US"/>
        </w:rPr>
        <w:tab/>
        <w:t>References.</w:t>
      </w:r>
    </w:p>
    <w:p>
      <w:pPr>
        <w:pStyle w:val="Body A"/>
        <w:jc w:val="both"/>
        <w:rPr>
          <w:rStyle w:val="None"/>
          <w:rFonts w:ascii="Times New Roman" w:cs="Times New Roman" w:hAnsi="Times New Roman" w:eastAsia="Times New Roman"/>
          <w:outline w:val="0"/>
          <w:color w:val="000000"/>
          <w:sz w:val="28"/>
          <w:szCs w:val="28"/>
          <w:u w:val="none" w:color="000000"/>
          <w14:textFill>
            <w14:solidFill>
              <w14:srgbClr w14:val="000000"/>
            </w14:solidFill>
          </w14:textFill>
        </w:rPr>
      </w:pPr>
      <w:r>
        <w:rPr>
          <w:rFonts w:ascii="Times New Roman" w:hAnsi="Times New Roman"/>
          <w:sz w:val="28"/>
          <w:szCs w:val="28"/>
          <w:u w:color="000000"/>
          <w:rtl w:val="0"/>
          <w:lang w:val="en-US"/>
        </w:rPr>
        <w:t xml:space="preserve">1. </w:t>
      </w:r>
      <w:r>
        <w:rPr>
          <w:rStyle w:val="Hyperlink.0"/>
        </w:rPr>
        <w:fldChar w:fldCharType="begin" w:fldLock="0"/>
      </w:r>
      <w:r>
        <w:rPr>
          <w:rStyle w:val="Hyperlink.0"/>
        </w:rPr>
        <w:instrText xml:space="preserve"> HYPERLINK "https://www.ncbi.nlm.nih.gov/pubmed/?term=Drmic%2520D%255BAuthor%255D&amp;cauthor=true&amp;cauthor_uid=30622376"</w:instrText>
      </w:r>
      <w:r>
        <w:rPr>
          <w:rStyle w:val="Hyperlink.0"/>
        </w:rPr>
        <w:fldChar w:fldCharType="separate" w:fldLock="0"/>
      </w:r>
      <w:r>
        <w:rPr>
          <w:rStyle w:val="Hyperlink.0"/>
          <w:rtl w:val="0"/>
          <w:lang w:val="en-US"/>
        </w:rPr>
        <w:t>Drmic D</w:t>
      </w:r>
      <w:r>
        <w:rPr/>
        <w:fldChar w:fldCharType="end" w:fldLock="0"/>
      </w:r>
      <w:r>
        <w:rPr>
          <w:rStyle w:val="None"/>
          <w:rFonts w:ascii="Times New Roman" w:hAnsi="Times New Roman"/>
          <w:sz w:val="28"/>
          <w:szCs w:val="28"/>
          <w:rtl w:val="0"/>
        </w:rPr>
        <w:t>.</w:t>
      </w:r>
      <w:r>
        <w:rPr>
          <w:rStyle w:val="None"/>
          <w:rFonts w:ascii="Times New Roman" w:hAnsi="Times New Roman"/>
          <w:sz w:val="28"/>
          <w:szCs w:val="28"/>
          <w:rtl w:val="0"/>
          <w:lang w:val="en-US"/>
        </w:rPr>
        <w:t xml:space="preserve">, </w:t>
      </w:r>
      <w:r>
        <w:rPr>
          <w:rStyle w:val="Hyperlink.0"/>
        </w:rPr>
        <w:fldChar w:fldCharType="begin" w:fldLock="0"/>
      </w:r>
      <w:r>
        <w:rPr>
          <w:rStyle w:val="Hyperlink.0"/>
        </w:rPr>
        <w:instrText xml:space="preserve"> HYPERLINK "https://www.ncbi.nlm.nih.gov/pubmed/?term=Samara%2520M%255BAuthor%255D&amp;cauthor=true&amp;cauthor_uid=30622376"</w:instrText>
      </w:r>
      <w:r>
        <w:rPr>
          <w:rStyle w:val="Hyperlink.0"/>
        </w:rPr>
        <w:fldChar w:fldCharType="separate" w:fldLock="0"/>
      </w:r>
      <w:r>
        <w:rPr>
          <w:rStyle w:val="Hyperlink.0"/>
          <w:rtl w:val="0"/>
          <w:lang w:val="en-US"/>
        </w:rPr>
        <w:t>Samara M</w:t>
      </w:r>
      <w:r>
        <w:rPr/>
        <w:fldChar w:fldCharType="end" w:fldLock="0"/>
      </w:r>
      <w:r>
        <w:rPr>
          <w:rStyle w:val="None"/>
          <w:rFonts w:ascii="Times New Roman" w:hAnsi="Times New Roman"/>
          <w:sz w:val="28"/>
          <w:szCs w:val="28"/>
          <w:rtl w:val="0"/>
          <w:lang w:val="en-US"/>
        </w:rPr>
        <w:t xml:space="preserve">., </w:t>
      </w:r>
      <w:r>
        <w:rPr>
          <w:rStyle w:val="Hyperlink.0"/>
        </w:rPr>
        <w:fldChar w:fldCharType="begin" w:fldLock="0"/>
      </w:r>
      <w:r>
        <w:rPr>
          <w:rStyle w:val="Hyperlink.0"/>
        </w:rPr>
        <w:instrText xml:space="preserve"> HYPERLINK "https://www.ncbi.nlm.nih.gov/pubmed/?term=Vidovic%2520T%255BAuthor%255D&amp;cauthor=true&amp;cauthor_uid=30622376"</w:instrText>
      </w:r>
      <w:r>
        <w:rPr>
          <w:rStyle w:val="Hyperlink.0"/>
        </w:rPr>
        <w:fldChar w:fldCharType="separate" w:fldLock="0"/>
      </w:r>
      <w:r>
        <w:rPr>
          <w:rStyle w:val="Hyperlink.0"/>
          <w:rtl w:val="0"/>
          <w:lang w:val="en-US"/>
        </w:rPr>
        <w:t>Vidovic T</w:t>
      </w:r>
      <w:r>
        <w:rPr/>
        <w:fldChar w:fldCharType="end" w:fldLock="0"/>
      </w:r>
      <w:r>
        <w:rPr>
          <w:rStyle w:val="None"/>
          <w:rFonts w:ascii="Times New Roman" w:hAnsi="Times New Roman"/>
          <w:sz w:val="28"/>
          <w:szCs w:val="28"/>
          <w:rtl w:val="0"/>
          <w:lang w:val="en-US"/>
        </w:rPr>
        <w:t xml:space="preserve">. et al. Counteraction of perforated cecum lesions in rats: Effects of pentadecapeptide BPC 157, L-NAME and L-arginine. </w:t>
      </w:r>
      <w:r>
        <w:rPr>
          <w:rStyle w:val="None"/>
          <w:rFonts w:ascii="Times New Roman" w:hAnsi="Times New Roman"/>
          <w:outline w:val="0"/>
          <w:color w:val="333333"/>
          <w:sz w:val="28"/>
          <w:szCs w:val="28"/>
          <w:u w:color="333333"/>
          <w:rtl w:val="0"/>
          <w:lang w:val="en-US"/>
          <w14:textFill>
            <w14:solidFill>
              <w14:srgbClr w14:val="333333"/>
            </w14:solidFill>
          </w14:textFill>
        </w:rPr>
        <w:t>World J Gastroenterol.</w:t>
      </w:r>
      <w:r>
        <w:rPr>
          <w:rStyle w:val="None"/>
          <w:rFonts w:ascii="Times New Roman" w:hAnsi="Times New Roman"/>
          <w:sz w:val="28"/>
          <w:szCs w:val="28"/>
          <w:rtl w:val="0"/>
          <w:lang w:val="en-US"/>
        </w:rPr>
        <w:t xml:space="preserve"> 2018; 24(48): 5462-5476.</w:t>
      </w:r>
    </w:p>
    <w:p>
      <w:pPr>
        <w:pStyle w:val="Default"/>
        <w:rPr>
          <w:rStyle w:val="None"/>
          <w:rFonts w:ascii="Times New Roman" w:cs="Times New Roman" w:hAnsi="Times New Roman" w:eastAsia="Times New Roman"/>
          <w:outline w:val="0"/>
          <w:color w:val="000000"/>
          <w:sz w:val="28"/>
          <w:szCs w:val="28"/>
          <w:u w:val="none" w:color="333333"/>
          <w:shd w:val="clear" w:color="auto" w:fill="ffffff"/>
          <w14:textFill>
            <w14:solidFill>
              <w14:srgbClr w14:val="000000"/>
            </w14:solidFill>
          </w14:textFill>
        </w:rPr>
      </w:pPr>
      <w:r>
        <w:rPr>
          <w:rStyle w:val="None"/>
          <w:rFonts w:ascii="Times New Roman" w:hAnsi="Times New Roman"/>
          <w:outline w:val="0"/>
          <w:color w:val="000000"/>
          <w:sz w:val="28"/>
          <w:szCs w:val="28"/>
          <w:u w:val="none" w:color="333333"/>
          <w:shd w:val="clear" w:color="auto" w:fill="ffffff"/>
          <w:rtl w:val="0"/>
          <w:lang w:val="en-US"/>
          <w14:textFill>
            <w14:solidFill>
              <w14:srgbClr w14:val="000000"/>
            </w14:solidFill>
          </w14:textFill>
        </w:rPr>
        <w:t xml:space="preserve">2. Nasadyuk C., Sklyarov A. </w:t>
      </w:r>
      <w:r>
        <w:rPr>
          <w:rStyle w:val="None"/>
          <w:rFonts w:ascii="Times New Roman" w:hAnsi="Times New Roman"/>
          <w:outline w:val="0"/>
          <w:color w:val="333333"/>
          <w:sz w:val="28"/>
          <w:szCs w:val="28"/>
          <w:u w:val="none" w:color="333333"/>
          <w:shd w:val="clear" w:color="auto" w:fill="ffffff"/>
          <w:rtl w:val="0"/>
          <w:lang w:val="en-US"/>
          <w14:textFill>
            <w14:solidFill>
              <w14:srgbClr w14:val="333333"/>
            </w14:solidFill>
          </w14:textFill>
        </w:rPr>
        <w:t xml:space="preserve">Thymohexin exhibits cytoprotective effect in experimental gastric lesions in rats both through the inhibition of inducible nitric oxide synthase and reduction of oxidative mucosal damage. Regulatory Peptides. 2013; 180: P. 50-57. </w:t>
      </w:r>
    </w:p>
    <w:p>
      <w:pPr>
        <w:pStyle w:val="Default"/>
        <w:rPr>
          <w:rStyle w:val="None"/>
          <w:rFonts w:ascii="Times New Roman" w:cs="Times New Roman" w:hAnsi="Times New Roman" w:eastAsia="Times New Roman"/>
          <w:outline w:val="0"/>
          <w:color w:val="000000"/>
          <w:sz w:val="28"/>
          <w:szCs w:val="28"/>
          <w:u w:val="none" w:color="333333"/>
          <w:shd w:val="clear" w:color="auto" w:fill="ffffff"/>
          <w14:textFill>
            <w14:solidFill>
              <w14:srgbClr w14:val="000000"/>
            </w14:solidFill>
          </w14:textFill>
        </w:rPr>
      </w:pPr>
    </w:p>
    <w:p>
      <w:pPr>
        <w:pStyle w:val="Default"/>
        <w:rPr>
          <w:rStyle w:val="None"/>
          <w:rFonts w:ascii="Times New Roman" w:cs="Times New Roman" w:hAnsi="Times New Roman" w:eastAsia="Times New Roman"/>
          <w:b w:val="1"/>
          <w:bCs w:val="1"/>
          <w:outline w:val="0"/>
          <w:color w:val="000000"/>
          <w:sz w:val="28"/>
          <w:szCs w:val="28"/>
          <w:u w:val="none" w:color="333333"/>
          <w:shd w:val="clear" w:color="auto" w:fill="ffffff"/>
          <w14:textFill>
            <w14:solidFill>
              <w14:srgbClr w14:val="000000"/>
            </w14:solidFill>
          </w14:textFill>
        </w:rPr>
      </w:pPr>
      <w:r>
        <w:rPr>
          <w:rStyle w:val="None"/>
          <w:rFonts w:ascii="Times New Roman" w:hAnsi="Times New Roman"/>
          <w:b w:val="1"/>
          <w:bCs w:val="1"/>
          <w:outline w:val="0"/>
          <w:color w:val="000000"/>
          <w:sz w:val="28"/>
          <w:szCs w:val="28"/>
          <w:u w:val="none" w:color="333333"/>
          <w:shd w:val="clear" w:color="auto" w:fill="ffffff"/>
          <w:rtl w:val="0"/>
          <w:lang w:val="en-US"/>
          <w14:textFill>
            <w14:solidFill>
              <w14:srgbClr w14:val="000000"/>
            </w14:solidFill>
          </w14:textFill>
        </w:rPr>
        <w:t>Biography.</w:t>
      </w:r>
    </w:p>
    <w:p>
      <w:pPr>
        <w:pStyle w:val="Default"/>
        <w:rPr>
          <w:rStyle w:val="None"/>
          <w:rFonts w:ascii="Times New Roman" w:cs="Times New Roman" w:hAnsi="Times New Roman" w:eastAsia="Times New Roman"/>
          <w:b w:val="1"/>
          <w:bCs w:val="1"/>
          <w:outline w:val="0"/>
          <w:color w:val="000000"/>
          <w:sz w:val="28"/>
          <w:szCs w:val="28"/>
          <w:u w:val="none" w:color="333333"/>
          <w:shd w:val="clear" w:color="auto" w:fill="ffffff"/>
          <w14:textFill>
            <w14:solidFill>
              <w14:srgbClr w14:val="000000"/>
            </w14:solidFill>
          </w14:textFill>
        </w:rPr>
      </w:pPr>
    </w:p>
    <w:p>
      <w:pPr>
        <w:pStyle w:val="Default"/>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rPr>
          <w:rStyle w:val="None"/>
          <w:rFonts w:ascii="Times New Roman" w:cs="Times New Roman" w:hAnsi="Times New Roman" w:eastAsia="Times New Roman"/>
          <w:b w:val="1"/>
          <w:bCs w:val="1"/>
          <w:sz w:val="28"/>
          <w:szCs w:val="28"/>
          <w:u w:color="000000"/>
        </w:rPr>
      </w:pPr>
      <w:r>
        <w:rPr>
          <w:rStyle w:val="None"/>
          <w:rFonts w:ascii="Times New Roman" w:hAnsi="Times New Roman"/>
          <w:b w:val="1"/>
          <w:bCs w:val="1"/>
          <w:sz w:val="28"/>
          <w:szCs w:val="28"/>
          <w:u w:color="000000"/>
          <w:rtl w:val="0"/>
          <w:lang w:val="en-US"/>
        </w:rPr>
        <w:t>Christina Nasadyuk</w:t>
      </w:r>
    </w:p>
    <w:p>
      <w:pPr>
        <w:pStyle w:val="Default"/>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jc w:val="center"/>
        <w:rPr>
          <w:rStyle w:val="None"/>
          <w:rFonts w:ascii="Times New Roman" w:cs="Times New Roman" w:hAnsi="Times New Roman" w:eastAsia="Times New Roman"/>
          <w:sz w:val="28"/>
          <w:szCs w:val="28"/>
          <w:u w:color="000000"/>
        </w:rPr>
      </w:pPr>
    </w:p>
    <w:p>
      <w:pPr>
        <w:pStyle w:val="Default"/>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jc w:val="both"/>
        <w:rPr>
          <w:rStyle w:val="None"/>
          <w:rFonts w:ascii="Times New Roman" w:cs="Times New Roman" w:hAnsi="Times New Roman" w:eastAsia="Times New Roman"/>
          <w:sz w:val="28"/>
          <w:szCs w:val="28"/>
          <w:u w:color="000000"/>
        </w:rPr>
      </w:pPr>
      <w:r>
        <w:rPr>
          <w:rStyle w:val="None"/>
          <w:rFonts w:ascii="Times New Roman" w:hAnsi="Times New Roman"/>
          <w:sz w:val="28"/>
          <w:szCs w:val="28"/>
          <w:u w:color="000000"/>
          <w:rtl w:val="0"/>
          <w:lang w:val="en-US"/>
        </w:rPr>
        <w:t xml:space="preserve">Christina Nasadyuk is a physician, researcher and academic teacher with a PhD degree in Medical Biochemistry. Her current research is focused on the evaluation of the glycomic changes in gastrointestinal disorders as well as the role of cyclooxygenases, lipoxygenases, antioxidant and nitric oxide system in the processes of cytoprotection and ulceration of the stomach mucosa and the search for new gastroprotective peptides. The research is aimed at the reduction of NSAIDs gastrotoxicity. Has also scientific and management experience in cord blood banking industry, having contributed to its shaping and development in Ukraine. </w:t>
      </w:r>
    </w:p>
    <w:p>
      <w:pPr>
        <w:pStyle w:val="Default"/>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jc w:val="both"/>
        <w:rPr>
          <w:rStyle w:val="None"/>
          <w:rFonts w:ascii="Times New Roman" w:cs="Times New Roman" w:hAnsi="Times New Roman" w:eastAsia="Times New Roman"/>
          <w:sz w:val="28"/>
          <w:szCs w:val="28"/>
          <w:u w:color="000000"/>
        </w:rPr>
      </w:pPr>
    </w:p>
    <w:p>
      <w:pPr>
        <w:pStyle w:val="Default"/>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jc w:val="both"/>
      </w:pPr>
      <w:r>
        <w:rPr>
          <w:rStyle w:val="None"/>
          <w:rFonts w:ascii="Times New Roman" w:hAnsi="Times New Roman"/>
          <w:b w:val="1"/>
          <w:bCs w:val="1"/>
          <w:sz w:val="28"/>
          <w:szCs w:val="28"/>
          <w:u w:color="000000"/>
          <w:rtl w:val="0"/>
          <w:lang w:val="en-US"/>
        </w:rPr>
        <w:t>E-mail address:</w:t>
      </w:r>
      <w:r>
        <w:rPr>
          <w:rStyle w:val="None"/>
          <w:rFonts w:ascii="Times New Roman" w:hAnsi="Times New Roman"/>
          <w:sz w:val="28"/>
          <w:szCs w:val="28"/>
          <w:u w:color="000000"/>
          <w:rtl w:val="0"/>
          <w:lang w:val="en-US"/>
        </w:rPr>
        <w:t xml:space="preserve"> nasadyukch@gmail.com</w:t>
      </w:r>
    </w:p>
    <w:sectPr>
      <w:headerReference w:type="default" r:id="rId4"/>
      <w:footerReference w:type="default" r:id="rId5"/>
      <w:pgSz w:w="11900" w:h="16840" w:orient="portrait"/>
      <w:pgMar w:top="1134" w:right="1134" w:bottom="1134" w:left="1134" w:header="709" w:footer="850"/>
      <w:bidi w:val="0"/>
    </w:sectPr>
  </w:body>
</w:document>
</file>

<file path=word/fontTable.xml><?xml version="1.0" encoding="utf-8"?>
<w:fonts xmlns:w="http://schemas.openxmlformats.org/wordprocessingml/2006/main">
  <w:font w:name="Times New Roman">
    <w:charset w:val="00"/>
    <w:family w:val="roman"/>
    <w:pitch w:val="variable"/>
  </w:font>
  <w:font w:name="Symbol">
    <w:charset w:val="02"/>
    <w:family w:val="roman"/>
    <w:pitch w:val="variable"/>
  </w:font>
  <w:font w:name="Arial">
    <w:charset w:val="00"/>
    <w:family w:val="swiss"/>
    <w:pitch w:val="variable"/>
  </w:font>
  <w:font w:name="Arial Unicode MS">
    <w:charset w:val="00"/>
    <w:family w:val="roman"/>
    <w:pitch w:val="default"/>
  </w:font>
  <w:font w:name="Helvetica Neue">
    <w:charset w:val="00"/>
    <w:family w:val="roman"/>
    <w:pitch w:val="default"/>
  </w:font>
</w:fonts>
</file>

<file path=word/footer1.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amp; Footer"/>
      <w:bidi w:val="0"/>
    </w:pPr>
    <w:r/>
  </w:p>
</w:ftr>
</file>

<file path=word/header1.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amp; Footer"/>
      <w:bidi w:val="0"/>
    </w:pPr>
    <w:r/>
  </w:p>
</w:hdr>
</file>

<file path=word/settings.xml><?xml version="1.0" encoding="utf-8"?>
<w:settings xmlns:mc="http://schemas.openxmlformats.org/markup-compatibility/2006" xmlns:o="urn:schemas-microsoft-com:office:office" xmlns:v="urn:schemas-microsoft-com:vml" xmlns:w="http://schemas.openxmlformats.org/wordprocessingml/2006/main">
  <w:view w:val="print"/>
  <w:mirrorMargins w:val="0"/>
  <w:bordersDoNotSurroundHeader w:val="0"/>
  <w:bordersDoNotSurroundFooter w:val="0"/>
  <w:displayBackgroundShape/>
  <w:revisionView w:markup="1" w:comments="1" w:insDel="1" w:formatting="0"/>
  <w:defaultTabStop w:val="720"/>
  <w:autoHyphenation w:val="1"/>
  <w:evenAndOddHeaders w:val="0"/>
  <w:bookFoldPrinting w:val="0"/>
  <w:noLineBreaksAfter w:lang="English" w:val="‘“(〔[{〈《「『【⦅〘〖«〝︵︷︹︻︽︿﹁﹃﹇﹙﹛﹝｢"/>
  <w:noLineBreaksBefore w:lang="English" w:val="’”)〕]}〉"/>
  <w:compat>
    <w:compatSetting w:name="compatibilityMode" w:uri="http://schemas.microsoft.com/office/word" w:val="15"/>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xmlns:mc="http://schemas.openxmlformats.org/markup-compatibility/2006" xmlns:w14="http://schemas.microsoft.com/office/word/2010/wordml" mc:Ignorable="w14">
  <w:docDefaults>
    <w:rPrDefault>
      <w:rPr>
        <w:rFonts w:ascii="Times New Roman" w:cs="Times New Roman" w:hAnsi="Times New Roman" w:eastAsia="Arial Unicode MS"/>
        <w:b w:val="0"/>
        <w:bCs w:val="0"/>
        <w:i w:val="0"/>
        <w:iCs w:val="0"/>
        <w:caps w:val="0"/>
        <w:smallCaps w:val="0"/>
        <w:strike w:val="0"/>
        <w:dstrike w:val="0"/>
        <w:outline w:val="0"/>
        <w:emboss w:val="0"/>
        <w:imprint w:val="0"/>
        <w:vanish w:val="0"/>
        <w:color w:val="auto"/>
        <w:spacing w:val="0"/>
        <w:w w:val="100"/>
        <w:kern w:val="0"/>
        <w:position w:val="0"/>
        <w:sz w:val="20"/>
        <w:szCs w:val="20"/>
        <w:u w:val="none" w:color="auto"/>
        <w:bdr w:val="nil"/>
        <w:vertAlign w:val="baseline"/>
        <w:lang/>
      </w:rPr>
    </w:rPrDefault>
    <w:pPrDefault>
      <w:pPr>
        <w:keepNext w:val="0"/>
        <w:keepLines w:val="0"/>
        <w:pageBreakBefore w:val="0"/>
        <w:framePr w:anchorLock="0" w:w="0" w:h="0" w:vSpace="0" w:hSpace="0" w:xAlign="left" w:y="0" w:hRule="exact" w:vAnchor="margin"/>
        <w:widowControl w:val="1"/>
        <w:numPr>
          <w:ilvl w:val="0"/>
          <w:numId w:val="0"/>
        </w:numPr>
        <w:suppressLineNumbers w:val="0"/>
        <w:pBdr>
          <w:top w:val="nil"/>
          <w:left w:val="nil"/>
          <w:bottom w:val="nil"/>
          <w:right w:val="nil"/>
          <w:between w:val="nil"/>
          <w:bar w:val="nil"/>
        </w:pBdr>
        <w:shd w:val="clear" w:color="auto" w:fill="auto"/>
        <w:suppressAutoHyphens w:val="0"/>
        <w:spacing w:before="0" w:beforeAutospacing="0" w:after="0" w:afterAutospacing="0" w:line="240" w:lineRule="auto"/>
        <w:ind w:left="0" w:right="0" w:firstLine="0"/>
        <w:jc w:val="left"/>
        <w:outlineLvl w:val="9"/>
      </w:pPr>
    </w:pPrDefault>
  </w:docDefaults>
  <w:style w:type="paragraph" w:default="1" w:styleId="Normal">
    <w:name w:val="Normal"/>
    <w:next w:val="Normal"/>
    <w:pPr/>
    <w:rPr>
      <w:sz w:val="24"/>
      <w:szCs w:val="24"/>
      <w:lang w:val="en-US" w:eastAsia="en-US" w:bidi="ar-SA"/>
    </w:rPr>
  </w:style>
  <w:style w:type="character" w:default="1" w:styleId="Default Paragraph Font">
    <w:name w:val="Default Paragraph Font"/>
    <w:next w:val="Default Paragraph Font"/>
  </w:style>
  <w:style w:type="character" w:styleId="Hyperlink">
    <w:name w:val="Hyperlink"/>
    <w:rPr>
      <w:u w:val="single"/>
    </w:rPr>
  </w:style>
  <w:style w:type="table" w:default="1" w:styleId="Table Normal">
    <w:name w:val="Table Normal"/>
    <w:next w:val="Table Normal"/>
    <w:pPr/>
    <w:tblPr>
      <w:tblInd w:w="0" w:type="dxa"/>
    </w:tblPr>
    <w:trPr/>
    <w:tc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numbering" w:default="1" w:styleId="No List">
    <w:name w:val="No List"/>
    <w:next w:val="No List"/>
    <w:pPr/>
  </w:style>
  <w:style w:type="paragraph" w:styleId="Header &amp; Footer">
    <w:name w:val="Header &amp; Footer"/>
    <w:next w:val="Header &amp; Footer"/>
    <w:pPr>
      <w:keepNext w:val="0"/>
      <w:keepLines w:val="0"/>
      <w:pageBreakBefore w:val="0"/>
      <w:widowControl w:val="1"/>
      <w:shd w:val="clear" w:color="auto" w:fill="auto"/>
      <w:tabs>
        <w:tab w:val="right" w:pos="9020"/>
      </w:tabs>
      <w:suppressAutoHyphens w:val="0"/>
      <w:bidi w:val="0"/>
      <w:spacing w:before="0" w:after="0" w:line="240" w:lineRule="auto"/>
      <w:ind w:left="0" w:right="0" w:firstLine="0"/>
      <w:jc w:val="left"/>
      <w:outlineLvl w:val="9"/>
    </w:pPr>
    <w:rPr>
      <w:rFonts w:ascii="Helvetica Neue" w:cs="Arial Unicode MS" w:hAnsi="Helvetica Neue" w:eastAsia="Arial Unicode MS"/>
      <w:b w:val="0"/>
      <w:bCs w:val="0"/>
      <w:i w:val="0"/>
      <w:iCs w:val="0"/>
      <w:caps w:val="0"/>
      <w:smallCaps w:val="0"/>
      <w:strike w:val="0"/>
      <w:dstrike w:val="0"/>
      <w:outline w:val="0"/>
      <w:color w:val="000000"/>
      <w:spacing w:val="0"/>
      <w:kern w:val="0"/>
      <w:position w:val="0"/>
      <w:sz w:val="24"/>
      <w:szCs w:val="24"/>
      <w:u w:val="none"/>
      <w:vertAlign w:val="baseline"/>
      <w14:textOutline>
        <w14:noFill/>
      </w14:textOutline>
      <w14:textFill>
        <w14:solidFill>
          <w14:srgbClr w14:val="000000"/>
        </w14:solidFill>
      </w14:textFill>
    </w:rPr>
  </w:style>
  <w:style w:type="paragraph" w:styleId="Body A">
    <w:name w:val="Body A"/>
    <w:next w:val="Body A"/>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Helvetica Neue" w:cs="Arial Unicode MS" w:hAnsi="Helvetica Neue" w:eastAsia="Arial Unicode MS"/>
      <w:b w:val="0"/>
      <w:bCs w:val="0"/>
      <w:i w:val="0"/>
      <w:iCs w:val="0"/>
      <w:caps w:val="0"/>
      <w:smallCaps w:val="0"/>
      <w:strike w:val="0"/>
      <w:dstrike w:val="0"/>
      <w:outline w:val="0"/>
      <w:color w:val="000000"/>
      <w:spacing w:val="0"/>
      <w:kern w:val="0"/>
      <w:position w:val="0"/>
      <w:sz w:val="22"/>
      <w:szCs w:val="22"/>
      <w:u w:val="none" w:color="000000"/>
      <w:vertAlign w:val="baseline"/>
      <w14:textOutline w14:w="12700" w14:cap="flat">
        <w14:noFill/>
        <w14:miter w14:lim="400000"/>
      </w14:textOutline>
      <w14:textFill>
        <w14:solidFill>
          <w14:srgbClr w14:val="000000"/>
        </w14:solidFill>
      </w14:textFill>
    </w:rPr>
  </w:style>
  <w:style w:type="character" w:styleId="None">
    <w:name w:val="None"/>
  </w:style>
  <w:style w:type="character" w:styleId="Hyperlink.0">
    <w:name w:val="Hyperlink.0"/>
    <w:basedOn w:val="None"/>
    <w:next w:val="Hyperlink.0"/>
    <w:rPr>
      <w:rFonts w:ascii="Times New Roman" w:cs="Times New Roman" w:hAnsi="Times New Roman" w:eastAsia="Times New Roman"/>
      <w:sz w:val="28"/>
      <w:szCs w:val="28"/>
      <w:u w:val="none"/>
      <w:lang w:val="en-US"/>
    </w:rPr>
  </w:style>
  <w:style w:type="paragraph" w:styleId="Default">
    <w:name w:val="Default"/>
    <w:next w:val="Default"/>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Helvetica Neue" w:cs="Arial Unicode MS" w:hAnsi="Helvetica Neue" w:eastAsia="Arial Unicode MS"/>
      <w:b w:val="0"/>
      <w:bCs w:val="0"/>
      <w:i w:val="0"/>
      <w:iCs w:val="0"/>
      <w:caps w:val="0"/>
      <w:smallCaps w:val="0"/>
      <w:strike w:val="0"/>
      <w:dstrike w:val="0"/>
      <w:outline w:val="0"/>
      <w:color w:val="000000"/>
      <w:spacing w:val="0"/>
      <w:kern w:val="0"/>
      <w:position w:val="0"/>
      <w:sz w:val="22"/>
      <w:szCs w:val="22"/>
      <w:u w:val="none" w:color="000000"/>
      <w:vertAlign w:val="baseline"/>
      <w:lang w:val="en-US"/>
      <w14:textOutline w14:w="12700" w14:cap="flat">
        <w14:noFill/>
        <w14:miter w14:lim="400000"/>
      </w14:textOutline>
      <w14:textFill>
        <w14:solidFill>
          <w14:srgbClr w14:val="000000"/>
        </w14:solidFill>
      </w14:textFill>
    </w:rPr>
  </w:style>
</w:styles>
</file>

<file path=word/_rels/document.xml.rels><?xml version="1.0" encoding="UTF-8"?>
<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styles" Target="styles.xml"/><Relationship Id="rId4" Type="http://schemas.openxmlformats.org/officeDocument/2006/relationships/header" Target="header1.xml"/><Relationship Id="rId5" Type="http://schemas.openxmlformats.org/officeDocument/2006/relationships/footer" Target="footer1.xml"/><Relationship Id="rId6" Type="http://schemas.openxmlformats.org/officeDocument/2006/relationships/theme" Target="theme/theme1.xml"/></Relationships>

</file>

<file path=word/theme/theme1.xml><?xml version="1.0" encoding="utf-8"?>
<a:theme xmlns:a="http://schemas.openxmlformats.org/drawingml/2006/main" xmlns:r="http://schemas.openxmlformats.org/officeDocument/2006/relationships" name="Blank">
  <a:themeElements>
    <a:clrScheme name="Blank">
      <a:dk1>
        <a:srgbClr val="000000"/>
      </a:dk1>
      <a:lt1>
        <a:srgbClr val="FFFFFF"/>
      </a:lt1>
      <a:dk2>
        <a:srgbClr val="A7A7A7"/>
      </a:dk2>
      <a:lt2>
        <a:srgbClr val="535353"/>
      </a:lt2>
      <a:accent1>
        <a:srgbClr val="00A2FF"/>
      </a:accent1>
      <a:accent2>
        <a:srgbClr val="16E7CF"/>
      </a:accent2>
      <a:accent3>
        <a:srgbClr val="61D836"/>
      </a:accent3>
      <a:accent4>
        <a:srgbClr val="FAE232"/>
      </a:accent4>
      <a:accent5>
        <a:srgbClr val="FF644E"/>
      </a:accent5>
      <a:accent6>
        <a:srgbClr val="EF5FA7"/>
      </a:accent6>
      <a:hlink>
        <a:srgbClr val="0000FF"/>
      </a:hlink>
      <a:folHlink>
        <a:srgbClr val="FF00FF"/>
      </a:folHlink>
    </a:clrScheme>
    <a:fontScheme name="Blank">
      <a:majorFont>
        <a:latin typeface="Helvetica Neue"/>
        <a:ea typeface="Helvetica Neue"/>
        <a:cs typeface="Helvetica Neue"/>
      </a:majorFont>
      <a:minorFont>
        <a:latin typeface="Helvetica Neue"/>
        <a:ea typeface="Helvetica Neue"/>
        <a:cs typeface="Helvetica Neue"/>
      </a:minorFont>
    </a:fontScheme>
    <a:fmtScheme name="Blank">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sp3d/>
      </a:spPr>
      <a:bodyPr rot="0" spcFirstLastPara="1" vertOverflow="overflow" horzOverflow="overflow" vert="horz" wrap="square" lIns="101600" tIns="101600" rIns="101600" bIns="101600" numCol="1" spcCol="38100" rtlCol="0" anchor="ctr"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spDef>
    <a:lnDef>
      <a:spPr>
        <a:noFill/>
        <a:ln w="25400" cap="flat">
          <a:solidFill>
            <a:schemeClr val="accent1"/>
          </a:solidFill>
          <a:prstDash val="solid"/>
          <a:round/>
        </a:ln>
        <a:effectLst/>
        <a:sp3d/>
      </a:spPr>
      <a:bodyPr rot="0" spcFirstLastPara="1" vertOverflow="overflow" horzOverflow="overflow" vert="horz" wrap="square" lIns="91439" tIns="45719" rIns="91439" bIns="45719" numCol="1" spcCol="38100" rtlCol="0" anchor="t" upright="0">
        <a:noAutofit/>
      </a:bodyPr>
      <a:lstStyle>
        <a:def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lnDef>
    <a:txDef>
      <a:spPr>
        <a:noFill/>
        <a:ln w="12700" cap="flat">
          <a:noFill/>
          <a:miter lim="400000"/>
        </a:ln>
        <a:effectLst/>
        <a:sp3d/>
      </a:spPr>
      <a:bodyPr rot="0" spcFirstLastPara="1" vertOverflow="overflow" horzOverflow="overflow" vert="horz" wrap="square" lIns="50800" tIns="50800" rIns="50800" bIns="50800" numCol="1" spcCol="38100" rtlCol="0" anchor="t"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txDef>
  </a:objectDefaults>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xsi="http://www.w3.org/2001/XMLSchema-instance"/>
</file>