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DFA" w:rsidRPr="00304DFA" w:rsidRDefault="00304DFA" w:rsidP="00304DFA">
      <w:pPr>
        <w:spacing w:line="360" w:lineRule="auto"/>
        <w:jc w:val="both"/>
        <w:rPr>
          <w:rFonts w:ascii="Book Antiqua" w:eastAsiaTheme="minorEastAsia" w:hAnsi="Book Antiqua" w:hint="eastAsia"/>
          <w:color w:val="000000"/>
          <w:sz w:val="24"/>
          <w:szCs w:val="24"/>
          <w:lang w:eastAsia="zh-CN"/>
        </w:rPr>
      </w:pPr>
      <w:r w:rsidRPr="00F15627">
        <w:rPr>
          <w:rFonts w:ascii="Book Antiqua" w:hAnsi="Book Antiqua"/>
          <w:b/>
          <w:color w:val="000000"/>
          <w:sz w:val="24"/>
          <w:szCs w:val="24"/>
        </w:rPr>
        <w:t>Transcutaneous electroacupuncture alleviates postoperative ileus after gastrectomy: A randomized clinical trial</w:t>
      </w:r>
    </w:p>
    <w:p w:rsidR="005973B9" w:rsidRPr="00304DFA" w:rsidRDefault="00304DFA" w:rsidP="00304DFA">
      <w:pPr>
        <w:pStyle w:val="a3"/>
        <w:spacing w:before="73" w:line="198" w:lineRule="exact"/>
        <w:ind w:right="5987"/>
        <w:rPr>
          <w:rFonts w:ascii="Arial" w:eastAsiaTheme="minorEastAsia" w:hint="eastAsia"/>
          <w:lang w:eastAsia="zh-CN"/>
        </w:rPr>
      </w:pPr>
      <w:r>
        <w:rPr>
          <w:rFonts w:ascii="Arial" w:eastAsiaTheme="minorEastAsia" w:hint="eastAsia"/>
          <w:lang w:eastAsia="zh-CN"/>
        </w:rPr>
        <w:t>Kai-Bo Chen M.D. CHINA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304DFA" w:rsidRPr="00304DFA" w:rsidRDefault="00304DFA" w:rsidP="00304DFA">
      <w:pPr>
        <w:pStyle w:val="3"/>
        <w:spacing w:before="74"/>
        <w:rPr>
          <w:i/>
        </w:rPr>
      </w:pPr>
      <w:r w:rsidRPr="00304DFA">
        <w:rPr>
          <w:i/>
        </w:rPr>
        <w:t xml:space="preserve">AIM </w:t>
      </w:r>
    </w:p>
    <w:p w:rsidR="00304DFA" w:rsidRPr="00304DFA" w:rsidRDefault="00304DFA" w:rsidP="00304DFA">
      <w:pPr>
        <w:pStyle w:val="3"/>
        <w:spacing w:before="74"/>
        <w:rPr>
          <w:b w:val="0"/>
        </w:rPr>
      </w:pPr>
      <w:r w:rsidRPr="00304DFA">
        <w:rPr>
          <w:b w:val="0"/>
        </w:rPr>
        <w:t xml:space="preserve">To investigate the efficacy and safety of </w:t>
      </w:r>
      <w:bookmarkStart w:id="0" w:name="OLE_LINK193"/>
      <w:bookmarkStart w:id="1" w:name="OLE_LINK194"/>
      <w:bookmarkStart w:id="2" w:name="OLE_LINK201"/>
      <w:bookmarkStart w:id="3" w:name="OLE_LINK202"/>
      <w:bookmarkStart w:id="4" w:name="OLE_LINK305"/>
      <w:bookmarkStart w:id="5" w:name="OLE_LINK306"/>
      <w:r w:rsidRPr="00304DFA">
        <w:rPr>
          <w:b w:val="0"/>
        </w:rPr>
        <w:t>transcutaneous electroacupuncture</w:t>
      </w:r>
      <w:bookmarkEnd w:id="0"/>
      <w:bookmarkEnd w:id="1"/>
      <w:r w:rsidRPr="00304DFA">
        <w:rPr>
          <w:b w:val="0"/>
        </w:rPr>
        <w:t xml:space="preserve"> </w:t>
      </w:r>
      <w:bookmarkEnd w:id="2"/>
      <w:bookmarkEnd w:id="3"/>
      <w:r w:rsidRPr="00304DFA">
        <w:rPr>
          <w:b w:val="0"/>
        </w:rPr>
        <w:t>(TEA)</w:t>
      </w:r>
      <w:bookmarkEnd w:id="4"/>
      <w:bookmarkEnd w:id="5"/>
      <w:r w:rsidRPr="00304DFA">
        <w:rPr>
          <w:b w:val="0"/>
        </w:rPr>
        <w:t xml:space="preserve"> to alleviate</w:t>
      </w:r>
      <w:bookmarkStart w:id="6" w:name="OLE_LINK307"/>
      <w:bookmarkStart w:id="7" w:name="OLE_LINK308"/>
      <w:r w:rsidRPr="00304DFA">
        <w:rPr>
          <w:b w:val="0"/>
        </w:rPr>
        <w:t xml:space="preserve"> postoperative ileus</w:t>
      </w:r>
      <w:bookmarkEnd w:id="6"/>
      <w:bookmarkEnd w:id="7"/>
      <w:r w:rsidRPr="00304DFA">
        <w:rPr>
          <w:b w:val="0"/>
        </w:rPr>
        <w:t xml:space="preserve"> (POI) after gastrectomy.</w:t>
      </w:r>
    </w:p>
    <w:p w:rsidR="00304DFA" w:rsidRPr="00304DFA" w:rsidRDefault="00304DFA" w:rsidP="00304DFA">
      <w:pPr>
        <w:pStyle w:val="3"/>
        <w:spacing w:before="74"/>
        <w:rPr>
          <w:i/>
        </w:rPr>
      </w:pPr>
    </w:p>
    <w:p w:rsidR="00304DFA" w:rsidRPr="00304DFA" w:rsidRDefault="00304DFA" w:rsidP="00304DFA">
      <w:pPr>
        <w:pStyle w:val="3"/>
        <w:spacing w:before="74"/>
        <w:rPr>
          <w:i/>
        </w:rPr>
      </w:pPr>
      <w:r w:rsidRPr="00304DFA">
        <w:rPr>
          <w:i/>
        </w:rPr>
        <w:t>METHODS</w:t>
      </w:r>
    </w:p>
    <w:p w:rsidR="00304DFA" w:rsidRPr="00304DFA" w:rsidRDefault="00304DFA" w:rsidP="00304DFA">
      <w:pPr>
        <w:pStyle w:val="3"/>
        <w:spacing w:before="74"/>
        <w:rPr>
          <w:b w:val="0"/>
        </w:rPr>
      </w:pPr>
      <w:r w:rsidRPr="00304DFA">
        <w:rPr>
          <w:b w:val="0"/>
        </w:rPr>
        <w:t xml:space="preserve">From April 2014 to February 2017, 63 gastric cancer patients were </w:t>
      </w:r>
      <w:bookmarkStart w:id="8" w:name="OLE_LINK7"/>
      <w:bookmarkStart w:id="9" w:name="OLE_LINK8"/>
      <w:r w:rsidRPr="00304DFA">
        <w:rPr>
          <w:b w:val="0"/>
        </w:rPr>
        <w:t>recruited</w:t>
      </w:r>
      <w:bookmarkEnd w:id="8"/>
      <w:bookmarkEnd w:id="9"/>
      <w:r w:rsidRPr="00304DFA">
        <w:rPr>
          <w:b w:val="0"/>
        </w:rPr>
        <w:t xml:space="preserve"> from the Second Affiliated Hospital of Zhejiang University School of Medicine, Hangzhou, China. After gastrectomy, the patients were randomly allocated to the TEA (</w:t>
      </w:r>
      <w:r w:rsidRPr="00304DFA">
        <w:rPr>
          <w:b w:val="0"/>
          <w:i/>
        </w:rPr>
        <w:t>n</w:t>
      </w:r>
      <w:r w:rsidRPr="00304DFA">
        <w:rPr>
          <w:b w:val="0"/>
        </w:rPr>
        <w:t xml:space="preserve"> = 33) or control (</w:t>
      </w:r>
      <w:r w:rsidRPr="00304DFA">
        <w:rPr>
          <w:b w:val="0"/>
          <w:i/>
        </w:rPr>
        <w:t>n</w:t>
      </w:r>
      <w:r w:rsidRPr="00304DFA">
        <w:rPr>
          <w:b w:val="0"/>
        </w:rPr>
        <w:t xml:space="preserve"> = 30) group. The patients in the TEA group received 1 h TEA on Neiguan (ST36) and Zusanli (PC6) twice daily in the morning and afternoon until they passed flatus. The main outcomes were hours to the first flatus or bowel movement, time to nasogastric tube removal, time to liquid and semi-liquid diet, and hospital stay. The secondary outcomes included postoperative symptom assessment and complications.</w:t>
      </w:r>
    </w:p>
    <w:p w:rsidR="00304DFA" w:rsidRPr="00304DFA" w:rsidRDefault="00304DFA" w:rsidP="00304DFA">
      <w:pPr>
        <w:pStyle w:val="3"/>
        <w:spacing w:before="74"/>
        <w:rPr>
          <w:i/>
        </w:rPr>
      </w:pPr>
    </w:p>
    <w:p w:rsidR="00304DFA" w:rsidRPr="00304DFA" w:rsidRDefault="00304DFA" w:rsidP="00304DFA">
      <w:pPr>
        <w:pStyle w:val="3"/>
        <w:spacing w:before="74"/>
        <w:rPr>
          <w:i/>
        </w:rPr>
      </w:pPr>
      <w:r w:rsidRPr="00304DFA">
        <w:rPr>
          <w:i/>
        </w:rPr>
        <w:t xml:space="preserve">RESULTS </w:t>
      </w:r>
    </w:p>
    <w:p w:rsidR="00304DFA" w:rsidRPr="00304DFA" w:rsidRDefault="00304DFA" w:rsidP="00304DFA">
      <w:pPr>
        <w:pStyle w:val="3"/>
        <w:spacing w:before="74"/>
        <w:rPr>
          <w:b w:val="0"/>
        </w:rPr>
      </w:pPr>
      <w:r w:rsidRPr="00304DFA">
        <w:rPr>
          <w:b w:val="0"/>
        </w:rPr>
        <w:t xml:space="preserve">Time to first flatus in the TEA group was significantly shorter than in the control group (73.19 ± 15.61 </w:t>
      </w:r>
      <w:bookmarkStart w:id="10" w:name="OLE_LINK188"/>
      <w:bookmarkStart w:id="11" w:name="OLE_LINK189"/>
      <w:bookmarkStart w:id="12" w:name="OLE_LINK190"/>
      <w:r w:rsidRPr="00304DFA">
        <w:rPr>
          <w:b w:val="0"/>
          <w:i/>
        </w:rPr>
        <w:t>vs</w:t>
      </w:r>
      <w:bookmarkEnd w:id="10"/>
      <w:bookmarkEnd w:id="11"/>
      <w:bookmarkEnd w:id="12"/>
      <w:r w:rsidRPr="00304DFA">
        <w:rPr>
          <w:b w:val="0"/>
        </w:rPr>
        <w:t xml:space="preserve"> 82.82 ± 20.25 h, </w:t>
      </w:r>
      <w:r w:rsidRPr="00304DFA">
        <w:rPr>
          <w:b w:val="0"/>
          <w:i/>
        </w:rPr>
        <w:t xml:space="preserve">P </w:t>
      </w:r>
      <w:r w:rsidRPr="00304DFA">
        <w:rPr>
          <w:b w:val="0"/>
        </w:rPr>
        <w:t xml:space="preserve">= 0.038), especially for open gastrectomy (76.53 ± 14.29 </w:t>
      </w:r>
      <w:r w:rsidRPr="00304DFA">
        <w:rPr>
          <w:b w:val="0"/>
          <w:i/>
        </w:rPr>
        <w:t>vs</w:t>
      </w:r>
      <w:r w:rsidRPr="00304DFA">
        <w:rPr>
          <w:b w:val="0"/>
        </w:rPr>
        <w:t xml:space="preserve"> 87.23 ± 20.75 h, </w:t>
      </w:r>
      <w:r w:rsidRPr="00304DFA">
        <w:rPr>
          <w:b w:val="0"/>
          <w:i/>
        </w:rPr>
        <w:t xml:space="preserve">P </w:t>
      </w:r>
      <w:r w:rsidRPr="00304DFA">
        <w:rPr>
          <w:b w:val="0"/>
        </w:rPr>
        <w:t xml:space="preserve">= 0.048). </w:t>
      </w:r>
      <w:bookmarkStart w:id="13" w:name="OLE_LINK5"/>
      <w:bookmarkStart w:id="14" w:name="OLE_LINK6"/>
      <w:r w:rsidRPr="00304DFA">
        <w:rPr>
          <w:b w:val="0"/>
        </w:rPr>
        <w:t xml:space="preserve">Bowel sounds on day 2 in the TEA group were significantly greater than in the control group (2.30 ± 2.61/min </w:t>
      </w:r>
      <w:r w:rsidRPr="00304DFA">
        <w:rPr>
          <w:b w:val="0"/>
          <w:i/>
        </w:rPr>
        <w:t xml:space="preserve">vs </w:t>
      </w:r>
      <w:r w:rsidRPr="00304DFA">
        <w:rPr>
          <w:b w:val="0"/>
        </w:rPr>
        <w:t xml:space="preserve">1.05 ± 1.26/min, </w:t>
      </w:r>
      <w:r w:rsidRPr="00304DFA">
        <w:rPr>
          <w:b w:val="0"/>
          <w:i/>
        </w:rPr>
        <w:t xml:space="preserve">P </w:t>
      </w:r>
      <w:r w:rsidRPr="00304DFA">
        <w:rPr>
          <w:b w:val="0"/>
        </w:rPr>
        <w:t xml:space="preserve">= 0.017). </w:t>
      </w:r>
      <w:bookmarkEnd w:id="13"/>
      <w:bookmarkEnd w:id="14"/>
      <w:r w:rsidRPr="00304DFA">
        <w:rPr>
          <w:b w:val="0"/>
        </w:rPr>
        <w:t xml:space="preserve">Time to nasogastric tube removal in the TEA group was earlier than in the control group (4.22 ± 1.01 </w:t>
      </w:r>
      <w:r w:rsidRPr="00304DFA">
        <w:rPr>
          <w:b w:val="0"/>
          <w:i/>
        </w:rPr>
        <w:t xml:space="preserve">vs </w:t>
      </w:r>
      <w:r w:rsidRPr="00304DFA">
        <w:rPr>
          <w:b w:val="0"/>
        </w:rPr>
        <w:t xml:space="preserve">4.97 ± 1.67 d, </w:t>
      </w:r>
      <w:r w:rsidRPr="00304DFA">
        <w:rPr>
          <w:b w:val="0"/>
          <w:i/>
        </w:rPr>
        <w:t xml:space="preserve">P </w:t>
      </w:r>
      <w:r w:rsidRPr="00304DFA">
        <w:rPr>
          <w:b w:val="0"/>
        </w:rPr>
        <w:t xml:space="preserve">= 0.049), as well as the time to liquid diet (5.0 ± 1.34 </w:t>
      </w:r>
      <w:r w:rsidRPr="00304DFA">
        <w:rPr>
          <w:b w:val="0"/>
          <w:i/>
        </w:rPr>
        <w:t xml:space="preserve">vs </w:t>
      </w:r>
      <w:r w:rsidRPr="00304DFA">
        <w:rPr>
          <w:b w:val="0"/>
        </w:rPr>
        <w:t xml:space="preserve">5.83 ± 2.10 d, </w:t>
      </w:r>
      <w:r w:rsidRPr="00304DFA">
        <w:rPr>
          <w:b w:val="0"/>
          <w:i/>
        </w:rPr>
        <w:t xml:space="preserve">P </w:t>
      </w:r>
      <w:r w:rsidRPr="00304DFA">
        <w:rPr>
          <w:b w:val="0"/>
        </w:rPr>
        <w:t xml:space="preserve">= 0.039). Hospital stay in the TEA group was significantly shorter than in the control group (8.06 ± 1.75 </w:t>
      </w:r>
      <w:r w:rsidRPr="00304DFA">
        <w:rPr>
          <w:b w:val="0"/>
          <w:i/>
        </w:rPr>
        <w:t xml:space="preserve">vs </w:t>
      </w:r>
      <w:r w:rsidRPr="00304DFA">
        <w:rPr>
          <w:b w:val="0"/>
        </w:rPr>
        <w:t xml:space="preserve">9.40 ± 3.09 d, </w:t>
      </w:r>
      <w:r w:rsidRPr="00304DFA">
        <w:rPr>
          <w:b w:val="0"/>
          <w:i/>
        </w:rPr>
        <w:t xml:space="preserve">P </w:t>
      </w:r>
      <w:r w:rsidRPr="00304DFA">
        <w:rPr>
          <w:b w:val="0"/>
        </w:rPr>
        <w:t>= 0.041). No significant differences in postoperative symptom assessment and complications were found between the groups. There were no severe adverse events related to TEA.</w:t>
      </w:r>
    </w:p>
    <w:p w:rsidR="00304DFA" w:rsidRPr="00304DFA" w:rsidRDefault="00304DFA" w:rsidP="00304DFA">
      <w:pPr>
        <w:pStyle w:val="3"/>
        <w:spacing w:before="74"/>
        <w:rPr>
          <w:i/>
        </w:rPr>
      </w:pPr>
    </w:p>
    <w:p w:rsidR="00304DFA" w:rsidRPr="00304DFA" w:rsidRDefault="00304DFA" w:rsidP="00304DFA">
      <w:pPr>
        <w:pStyle w:val="3"/>
        <w:spacing w:before="74"/>
        <w:rPr>
          <w:i/>
        </w:rPr>
      </w:pPr>
      <w:r w:rsidRPr="00304DFA">
        <w:rPr>
          <w:i/>
        </w:rPr>
        <w:t xml:space="preserve">CONCLUSION </w:t>
      </w:r>
    </w:p>
    <w:p w:rsidR="00304DFA" w:rsidRDefault="00304DFA" w:rsidP="00304DFA">
      <w:pPr>
        <w:pStyle w:val="3"/>
        <w:spacing w:before="74"/>
        <w:rPr>
          <w:rFonts w:eastAsiaTheme="minorEastAsia" w:hint="eastAsia"/>
          <w:b w:val="0"/>
          <w:lang w:eastAsia="zh-CN"/>
        </w:rPr>
      </w:pPr>
      <w:r w:rsidRPr="00304DFA">
        <w:rPr>
          <w:b w:val="0"/>
        </w:rPr>
        <w:t xml:space="preserve">TEA accelerated bowel movements and alleviated POI after open gastrectomy and shortened hospital stay. </w:t>
      </w:r>
    </w:p>
    <w:p w:rsidR="00304DFA" w:rsidRDefault="00304DFA" w:rsidP="00304DFA">
      <w:pPr>
        <w:pStyle w:val="3"/>
        <w:spacing w:before="74"/>
        <w:rPr>
          <w:rFonts w:eastAsiaTheme="minorEastAsia" w:hint="eastAsia"/>
          <w:b w:val="0"/>
          <w:lang w:eastAsia="zh-CN"/>
        </w:rPr>
      </w:pPr>
    </w:p>
    <w:p w:rsidR="00304DFA" w:rsidRDefault="00304DFA" w:rsidP="00304DFA">
      <w:pPr>
        <w:pStyle w:val="3"/>
        <w:spacing w:before="74"/>
        <w:rPr>
          <w:rFonts w:eastAsiaTheme="minorEastAsia" w:hint="eastAsia"/>
          <w:b w:val="0"/>
          <w:lang w:eastAsia="zh-CN"/>
        </w:rPr>
      </w:pPr>
    </w:p>
    <w:p w:rsidR="00304DFA" w:rsidRDefault="00304DFA" w:rsidP="00304DFA">
      <w:pPr>
        <w:pStyle w:val="3"/>
        <w:spacing w:before="74"/>
        <w:rPr>
          <w:rFonts w:eastAsiaTheme="minorEastAsia" w:hint="eastAsia"/>
          <w:b w:val="0"/>
          <w:lang w:eastAsia="zh-CN"/>
        </w:rPr>
      </w:pPr>
    </w:p>
    <w:p w:rsidR="00304DFA" w:rsidRDefault="00304DFA" w:rsidP="00304DFA">
      <w:pPr>
        <w:pStyle w:val="3"/>
        <w:spacing w:before="74"/>
        <w:rPr>
          <w:rFonts w:eastAsiaTheme="minorEastAsia" w:hint="eastAsia"/>
          <w:b w:val="0"/>
          <w:lang w:eastAsia="zh-CN"/>
        </w:rPr>
      </w:pPr>
    </w:p>
    <w:p w:rsidR="00304DFA" w:rsidRDefault="00304DFA" w:rsidP="00304DFA">
      <w:pPr>
        <w:pStyle w:val="3"/>
        <w:spacing w:before="74"/>
        <w:rPr>
          <w:rFonts w:eastAsiaTheme="minorEastAsia" w:hint="eastAsia"/>
          <w:b w:val="0"/>
          <w:lang w:eastAsia="zh-CN"/>
        </w:rPr>
      </w:pPr>
    </w:p>
    <w:p w:rsidR="00304DFA" w:rsidRPr="00304DFA" w:rsidRDefault="00304DFA" w:rsidP="00304DFA">
      <w:pPr>
        <w:pStyle w:val="3"/>
        <w:spacing w:before="74"/>
        <w:rPr>
          <w:rFonts w:eastAsiaTheme="minorEastAsia" w:hint="eastAsia"/>
          <w:b w:val="0"/>
          <w:lang w:eastAsia="zh-CN"/>
        </w:rPr>
      </w:pPr>
    </w:p>
    <w:p w:rsidR="00AE3E37" w:rsidRPr="00304DFA" w:rsidRDefault="00A9710C">
      <w:pPr>
        <w:pStyle w:val="3"/>
        <w:spacing w:before="74"/>
        <w:rPr>
          <w:b w:val="0"/>
        </w:rPr>
      </w:pPr>
      <w:r w:rsidRPr="00304DFA">
        <w:rPr>
          <w:b w:val="0"/>
        </w:rPr>
        <w:br w:type="column"/>
      </w:r>
      <w:r w:rsidRPr="00304DFA">
        <w:rPr>
          <w:b w:val="0"/>
          <w:color w:val="BF5A14"/>
        </w:rPr>
        <w:lastRenderedPageBreak/>
        <w:t>Image</w:t>
      </w:r>
    </w:p>
    <w:p w:rsidR="00AE3E37" w:rsidRPr="00304DFA" w:rsidRDefault="00304DFA">
      <w:pPr>
        <w:pStyle w:val="a3"/>
        <w:spacing w:before="2"/>
        <w:rPr>
          <w:rFonts w:ascii="Arial"/>
          <w:sz w:val="16"/>
        </w:rPr>
      </w:pPr>
      <w:r w:rsidRPr="00304DFA">
        <w:rPr>
          <w:rFonts w:ascii="Arial"/>
          <w:noProof/>
          <w:sz w:val="16"/>
          <w:lang w:eastAsia="zh-CN"/>
        </w:rPr>
        <w:drawing>
          <wp:inline distT="0" distB="0" distL="0" distR="0">
            <wp:extent cx="3165475" cy="1660527"/>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3165475" cy="1660527"/>
                    </a:xfrm>
                    <a:prstGeom prst="rect">
                      <a:avLst/>
                    </a:prstGeom>
                    <a:noFill/>
                    <a:ln w="9525">
                      <a:noFill/>
                      <a:miter lim="800000"/>
                      <a:headEnd/>
                      <a:tailEnd/>
                    </a:ln>
                  </pic:spPr>
                </pic:pic>
              </a:graphicData>
            </a:graphic>
          </wp:inline>
        </w:drawing>
      </w:r>
    </w:p>
    <w:p w:rsidR="00304DFA" w:rsidRDefault="00304DFA" w:rsidP="005973B9">
      <w:pPr>
        <w:spacing w:line="204" w:lineRule="exact"/>
        <w:rPr>
          <w:rFonts w:ascii="Arial" w:eastAsiaTheme="minorEastAsia" w:hint="eastAsia"/>
          <w:sz w:val="20"/>
          <w:lang w:eastAsia="zh-CN"/>
        </w:rPr>
      </w:pPr>
      <w:r w:rsidRPr="00304DFA">
        <w:rPr>
          <w:rFonts w:ascii="Arial"/>
          <w:sz w:val="20"/>
        </w:rPr>
        <w:t>Transcutaneous electroacupuncture sites used in this study. A: Neiguan (ST36): two electrodes were oppositely attached on the skin approximately 4.5 cm below the wrist wrinkle; B: Zusanli (PC6): two electrodes were oppositely attached on the skin 10 cm below the lateral patella pit</w:t>
      </w:r>
    </w:p>
    <w:p w:rsidR="005973B9" w:rsidRPr="00304DFA" w:rsidRDefault="005973B9" w:rsidP="005973B9">
      <w:pPr>
        <w:spacing w:line="204" w:lineRule="exact"/>
        <w:rPr>
          <w:rFonts w:ascii="Arial"/>
          <w:sz w:val="20"/>
        </w:rPr>
      </w:pPr>
      <w:r w:rsidRPr="00304DFA">
        <w:rPr>
          <w:rFonts w:ascii="Arial"/>
          <w:color w:val="BF5A14"/>
          <w:sz w:val="20"/>
        </w:rPr>
        <w:br/>
        <w:t>Recent Publications (minimum 5)</w:t>
      </w:r>
    </w:p>
    <w:p w:rsidR="00AE3E37" w:rsidRPr="00304DFA" w:rsidRDefault="00304DFA" w:rsidP="00304DFA">
      <w:pPr>
        <w:tabs>
          <w:tab w:val="left" w:pos="384"/>
        </w:tabs>
        <w:ind w:right="117"/>
        <w:rPr>
          <w:rFonts w:ascii="Arial" w:eastAsia="Arial" w:hAnsi="Arial" w:cs="Arial"/>
          <w:bCs/>
          <w:sz w:val="20"/>
          <w:szCs w:val="20"/>
        </w:rPr>
      </w:pPr>
      <w:r w:rsidRPr="00304DFA">
        <w:rPr>
          <w:rFonts w:ascii="Arial" w:eastAsia="Arial" w:hAnsi="Arial" w:cs="Arial"/>
          <w:bCs/>
          <w:sz w:val="20"/>
          <w:szCs w:val="20"/>
        </w:rPr>
        <w:t>Kai-Bo Chen(#); Yi-Qiao Lu(#) ; Jian-De Chen; Di-Ke Shi; Zhi-Hui Huang;</w:t>
      </w:r>
      <w:r w:rsidRPr="00304DFA">
        <w:rPr>
          <w:rFonts w:ascii="Arial" w:eastAsiaTheme="minorEastAsia" w:hAnsi="Arial" w:cs="Arial" w:hint="eastAsia"/>
          <w:bCs/>
          <w:sz w:val="20"/>
          <w:szCs w:val="20"/>
          <w:lang w:eastAsia="zh-CN"/>
        </w:rPr>
        <w:t xml:space="preserve"> </w:t>
      </w:r>
      <w:r w:rsidRPr="00304DFA">
        <w:rPr>
          <w:rFonts w:ascii="Arial" w:eastAsia="Arial" w:hAnsi="Arial" w:cs="Arial"/>
          <w:bCs/>
          <w:sz w:val="20"/>
          <w:szCs w:val="20"/>
        </w:rPr>
        <w:t>Yi-Xiong Zheng; Xiao-Li Jin; Zhe-Fang Wang; Wei-Dong Zhang; Yi Huang; Zhi-Wei, Wu; Guo-Ping Zhang; Hang Zhang; Ying-Hao Jiang; Li Chen(*)</w:t>
      </w:r>
      <w:r w:rsidRPr="00304DFA">
        <w:rPr>
          <w:rFonts w:ascii="Arial" w:eastAsia="Arial" w:hAnsi="Arial" w:cs="Arial" w:hint="eastAsia"/>
          <w:bCs/>
          <w:sz w:val="20"/>
          <w:szCs w:val="20"/>
        </w:rPr>
        <w:t xml:space="preserve"> </w:t>
      </w:r>
      <w:r w:rsidRPr="00304DFA">
        <w:rPr>
          <w:rFonts w:ascii="Arial" w:eastAsia="Arial" w:hAnsi="Arial" w:cs="Arial"/>
          <w:bCs/>
          <w:sz w:val="20"/>
          <w:szCs w:val="20"/>
        </w:rPr>
        <w:t>Transcutaneous electroacupuncture alleviates postoperative ileus after gastrectomy: A</w:t>
      </w:r>
      <w:bookmarkStart w:id="15" w:name="_GoBack"/>
      <w:bookmarkEnd w:id="15"/>
      <w:r w:rsidRPr="00304DFA">
        <w:rPr>
          <w:rFonts w:ascii="Arial" w:eastAsiaTheme="minorEastAsia" w:hAnsi="Arial" w:cs="Arial" w:hint="eastAsia"/>
          <w:bCs/>
          <w:sz w:val="20"/>
          <w:szCs w:val="20"/>
          <w:lang w:eastAsia="zh-CN"/>
        </w:rPr>
        <w:t xml:space="preserve"> </w:t>
      </w:r>
      <w:r w:rsidRPr="00304DFA">
        <w:rPr>
          <w:rFonts w:ascii="Arial" w:eastAsia="Arial" w:hAnsi="Arial" w:cs="Arial"/>
          <w:bCs/>
          <w:sz w:val="20"/>
          <w:szCs w:val="20"/>
        </w:rPr>
        <w:t>randomized clinical trial World Journal of Gastroenterology Surgery 2018.2.2</w:t>
      </w:r>
      <w:r w:rsidRPr="00304DFA">
        <w:rPr>
          <w:rFonts w:ascii="Arial" w:eastAsia="Arial" w:hAnsi="Arial" w:cs="Arial" w:hint="eastAsia"/>
          <w:bCs/>
          <w:sz w:val="20"/>
          <w:szCs w:val="20"/>
        </w:rPr>
        <w:t>7</w:t>
      </w:r>
      <w:r w:rsidRPr="00304DFA">
        <w:rPr>
          <w:rFonts w:ascii="Arial" w:eastAsia="Arial" w:hAnsi="Arial" w:cs="Arial"/>
          <w:bCs/>
          <w:sz w:val="20"/>
          <w:szCs w:val="20"/>
        </w:rPr>
        <w:t xml:space="preserve"> 10(2) :  13~20</w:t>
      </w:r>
    </w:p>
    <w:p w:rsidR="00AE3E37" w:rsidRDefault="008756E6">
      <w:pPr>
        <w:spacing w:line="200" w:lineRule="exact"/>
        <w:jc w:val="both"/>
        <w:rPr>
          <w:rFonts w:ascii="Calibri" w:eastAsiaTheme="minorEastAsia" w:hAnsi="Calibri" w:hint="eastAsia"/>
          <w:lang w:eastAsia="zh-CN"/>
        </w:rPr>
      </w:pPr>
      <w:r w:rsidRPr="00304DFA">
        <w:rPr>
          <w:rFonts w:ascii="Calibri" w:hAnsi="Calibri"/>
        </w:rPr>
        <w:t xml:space="preserve">   </w:t>
      </w:r>
    </w:p>
    <w:p w:rsidR="00304DFA" w:rsidRDefault="00304DFA">
      <w:pPr>
        <w:spacing w:line="200" w:lineRule="exact"/>
        <w:jc w:val="both"/>
        <w:rPr>
          <w:rFonts w:ascii="Calibri" w:eastAsiaTheme="minorEastAsia" w:hAnsi="Calibri" w:hint="eastAsia"/>
          <w:lang w:eastAsia="zh-CN"/>
        </w:rPr>
      </w:pPr>
    </w:p>
    <w:p w:rsidR="00304DFA" w:rsidRDefault="00304DFA">
      <w:pPr>
        <w:spacing w:line="200" w:lineRule="exact"/>
        <w:jc w:val="both"/>
        <w:rPr>
          <w:rFonts w:ascii="Calibri" w:eastAsiaTheme="minorEastAsia" w:hAnsi="Calibri" w:hint="eastAsia"/>
          <w:lang w:eastAsia="zh-CN"/>
        </w:rPr>
      </w:pPr>
    </w:p>
    <w:p w:rsidR="00304DFA" w:rsidRPr="00304DFA" w:rsidRDefault="00304DFA">
      <w:pPr>
        <w:spacing w:line="200" w:lineRule="exact"/>
        <w:jc w:val="both"/>
        <w:rPr>
          <w:rFonts w:ascii="Calibri" w:eastAsiaTheme="minorEastAsia" w:hAnsi="Calibri" w:hint="eastAsia"/>
          <w:lang w:eastAsia="zh-CN"/>
        </w:rPr>
        <w:sectPr w:rsidR="00304DFA" w:rsidRPr="00304DFA">
          <w:type w:val="continuous"/>
          <w:pgSz w:w="11910" w:h="16840"/>
          <w:pgMar w:top="1740" w:right="600" w:bottom="840" w:left="620" w:header="720" w:footer="720" w:gutter="0"/>
          <w:cols w:num="2" w:space="720" w:equalWidth="0">
            <w:col w:w="5214" w:space="138"/>
            <w:col w:w="5338"/>
          </w:cols>
        </w:sectPr>
      </w:pPr>
    </w:p>
    <w:p w:rsidR="00AE3E37" w:rsidRPr="00304DFA" w:rsidRDefault="00AE3E37">
      <w:pPr>
        <w:pStyle w:val="a3"/>
        <w:rPr>
          <w:rFonts w:ascii="Calibri" w:eastAsiaTheme="minorEastAsia" w:hint="eastAsia"/>
          <w:sz w:val="20"/>
          <w:lang w:eastAsia="zh-CN"/>
        </w:rPr>
      </w:pPr>
    </w:p>
    <w:p w:rsidR="00AE3E37" w:rsidRDefault="00CB2D74">
      <w:pPr>
        <w:pStyle w:val="a3"/>
        <w:spacing w:line="40" w:lineRule="exact"/>
        <w:ind w:left="2202"/>
        <w:rPr>
          <w:rFonts w:ascii="Calibri"/>
          <w:sz w:val="4"/>
        </w:rPr>
      </w:pPr>
      <w:r w:rsidRPr="00CB2D74">
        <w:rPr>
          <w:rFonts w:ascii="Calibri"/>
          <w:noProof/>
          <w:sz w:val="4"/>
          <w:lang w:val="en-IN" w:eastAsia="en-IN"/>
        </w:rPr>
      </w:r>
      <w:r w:rsidRPr="00CB2D74">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304DFA" w:rsidRPr="00C6322D" w:rsidRDefault="008756E6" w:rsidP="00404E5B">
      <w:pPr>
        <w:spacing w:before="92"/>
        <w:ind w:right="4234"/>
        <w:rPr>
          <w:rFonts w:eastAsiaTheme="minorEastAsia" w:hint="eastAsia"/>
          <w:b/>
          <w:noProof/>
          <w:sz w:val="24"/>
          <w:lang w:eastAsia="zh-CN"/>
        </w:rPr>
      </w:pPr>
      <w:r>
        <w:rPr>
          <w:noProof/>
        </w:rPr>
        <w:t xml:space="preserve">              </w:t>
      </w:r>
      <w:r w:rsidR="00A9710C">
        <w:rPr>
          <w:rFonts w:ascii="Arial"/>
          <w:color w:val="BF5A14"/>
        </w:rPr>
        <w:t>Biography</w:t>
      </w:r>
      <w:r w:rsidR="00404E5B">
        <w:rPr>
          <w:rFonts w:ascii="Arial"/>
          <w:color w:val="BF5A14"/>
        </w:rPr>
        <w:t xml:space="preserve"> (150 word limit)</w:t>
      </w:r>
      <w:r w:rsidR="00304DFA" w:rsidRPr="00304DFA">
        <w:rPr>
          <w:b/>
          <w:noProof/>
          <w:sz w:val="24"/>
          <w:lang w:eastAsia="zh-CN"/>
        </w:rPr>
        <w:t xml:space="preserve"> </w:t>
      </w:r>
      <w:r w:rsidR="00304DFA">
        <w:rPr>
          <w:b/>
          <w:noProof/>
          <w:sz w:val="24"/>
          <w:lang w:eastAsia="zh-CN"/>
        </w:rPr>
        <w:drawing>
          <wp:inline distT="0" distB="0" distL="0" distR="0">
            <wp:extent cx="1199798" cy="1799539"/>
            <wp:effectExtent l="19050" t="0" r="352" b="0"/>
            <wp:docPr id="8" name="图片 5" descr="个人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个人照片"/>
                    <pic:cNvPicPr>
                      <a:picLocks noChangeAspect="1" noChangeArrowheads="1"/>
                    </pic:cNvPicPr>
                  </pic:nvPicPr>
                  <pic:blipFill>
                    <a:blip r:embed="rId10" cstate="print"/>
                    <a:srcRect/>
                    <a:stretch>
                      <a:fillRect/>
                    </a:stretch>
                  </pic:blipFill>
                  <pic:spPr bwMode="auto">
                    <a:xfrm>
                      <a:off x="0" y="0"/>
                      <a:ext cx="1199832" cy="1799590"/>
                    </a:xfrm>
                    <a:prstGeom prst="rect">
                      <a:avLst/>
                    </a:prstGeom>
                    <a:noFill/>
                    <a:ln w="9525">
                      <a:noFill/>
                      <a:miter lim="800000"/>
                      <a:headEnd/>
                      <a:tailEnd/>
                    </a:ln>
                  </pic:spPr>
                </pic:pic>
              </a:graphicData>
            </a:graphic>
          </wp:inline>
        </w:drawing>
      </w:r>
    </w:p>
    <w:p w:rsidR="00304DFA" w:rsidRDefault="00304DFA">
      <w:pPr>
        <w:spacing w:before="62"/>
        <w:ind w:left="4217" w:right="4235"/>
        <w:jc w:val="center"/>
        <w:rPr>
          <w:rFonts w:ascii="Arial" w:eastAsiaTheme="minorEastAsia" w:hint="eastAsia"/>
          <w:sz w:val="14"/>
          <w:lang w:eastAsia="zh-CN"/>
        </w:rPr>
      </w:pPr>
    </w:p>
    <w:p w:rsidR="00304DFA" w:rsidRDefault="00304DFA">
      <w:pPr>
        <w:spacing w:before="62"/>
        <w:ind w:left="4217" w:right="4235"/>
        <w:jc w:val="center"/>
        <w:rPr>
          <w:rFonts w:ascii="Arial" w:eastAsiaTheme="minorEastAsia" w:hint="eastAsia"/>
          <w:sz w:val="14"/>
          <w:lang w:eastAsia="zh-CN"/>
        </w:rPr>
      </w:pPr>
    </w:p>
    <w:p w:rsidR="00304DFA" w:rsidRDefault="00304DFA" w:rsidP="00304DFA">
      <w:pPr>
        <w:spacing w:before="62"/>
        <w:ind w:left="4217" w:right="4235"/>
        <w:rPr>
          <w:rFonts w:ascii="Arial" w:eastAsiaTheme="minorEastAsia" w:hint="eastAsia"/>
          <w:sz w:val="14"/>
          <w:lang w:eastAsia="zh-CN"/>
        </w:rPr>
      </w:pPr>
    </w:p>
    <w:p w:rsidR="00304DFA" w:rsidRDefault="00304DFA">
      <w:pPr>
        <w:spacing w:before="62"/>
        <w:ind w:left="4217" w:right="4235"/>
        <w:jc w:val="center"/>
        <w:rPr>
          <w:rFonts w:ascii="Arial" w:eastAsiaTheme="minorEastAsia" w:hint="eastAsia"/>
          <w:sz w:val="14"/>
          <w:lang w:eastAsia="zh-CN"/>
        </w:rPr>
      </w:pPr>
    </w:p>
    <w:p w:rsidR="00304DFA" w:rsidRDefault="00304DFA">
      <w:pPr>
        <w:spacing w:before="62"/>
        <w:ind w:left="4217" w:right="4235"/>
        <w:jc w:val="center"/>
        <w:rPr>
          <w:rFonts w:ascii="Arial" w:eastAsiaTheme="minorEastAsia" w:hint="eastAsia"/>
          <w:sz w:val="14"/>
          <w:lang w:eastAsia="zh-CN"/>
        </w:rPr>
      </w:pPr>
    </w:p>
    <w:p w:rsidR="00304DFA" w:rsidRDefault="00304DFA">
      <w:pPr>
        <w:spacing w:before="62"/>
        <w:ind w:left="4217" w:right="4235"/>
        <w:jc w:val="center"/>
        <w:rPr>
          <w:rFonts w:ascii="Arial" w:eastAsiaTheme="minorEastAsia" w:hint="eastAsia"/>
          <w:sz w:val="14"/>
          <w:lang w:eastAsia="zh-CN"/>
        </w:rPr>
      </w:pPr>
    </w:p>
    <w:p w:rsidR="00304DFA" w:rsidRDefault="00304DFA">
      <w:pPr>
        <w:spacing w:before="62"/>
        <w:ind w:left="4217" w:right="4235"/>
        <w:jc w:val="center"/>
        <w:rPr>
          <w:rFonts w:ascii="Arial" w:eastAsiaTheme="minorEastAsia" w:hint="eastAsia"/>
          <w:sz w:val="14"/>
          <w:lang w:eastAsia="zh-CN"/>
        </w:rPr>
      </w:pPr>
    </w:p>
    <w:p w:rsidR="00304DFA" w:rsidRDefault="00304DFA">
      <w:pPr>
        <w:spacing w:before="62"/>
        <w:ind w:left="4217" w:right="4235"/>
        <w:jc w:val="center"/>
        <w:rPr>
          <w:rFonts w:ascii="Arial" w:eastAsiaTheme="minorEastAsia" w:hint="eastAsia"/>
          <w:sz w:val="14"/>
          <w:lang w:eastAsia="zh-CN"/>
        </w:rPr>
      </w:pPr>
    </w:p>
    <w:p w:rsidR="00304DFA" w:rsidRDefault="00304DFA">
      <w:pPr>
        <w:spacing w:before="62"/>
        <w:ind w:left="4217" w:right="4235"/>
        <w:jc w:val="center"/>
        <w:rPr>
          <w:rFonts w:ascii="Arial" w:eastAsiaTheme="minorEastAsia" w:hint="eastAsia"/>
          <w:sz w:val="14"/>
          <w:lang w:eastAsia="zh-CN"/>
        </w:rPr>
      </w:pPr>
    </w:p>
    <w:p w:rsidR="00304DFA" w:rsidRDefault="00304DFA">
      <w:pPr>
        <w:spacing w:before="62"/>
        <w:ind w:left="4217" w:right="4235"/>
        <w:jc w:val="center"/>
        <w:rPr>
          <w:rFonts w:ascii="Arial" w:eastAsiaTheme="minorEastAsia" w:hint="eastAsia"/>
          <w:sz w:val="14"/>
          <w:lang w:eastAsia="zh-CN"/>
        </w:rPr>
      </w:pPr>
    </w:p>
    <w:p w:rsidR="00304DFA" w:rsidRDefault="00304DFA">
      <w:pPr>
        <w:spacing w:before="62"/>
        <w:ind w:left="4217" w:right="4235"/>
        <w:jc w:val="center"/>
        <w:rPr>
          <w:rFonts w:ascii="Arial" w:eastAsiaTheme="minorEastAsia" w:hint="eastAsia"/>
          <w:sz w:val="14"/>
          <w:lang w:eastAsia="zh-CN"/>
        </w:rPr>
      </w:pPr>
    </w:p>
    <w:p w:rsidR="00304DFA" w:rsidRDefault="00304DFA">
      <w:pPr>
        <w:spacing w:before="62"/>
        <w:ind w:left="4217" w:right="4235"/>
        <w:jc w:val="center"/>
        <w:rPr>
          <w:rFonts w:ascii="Arial" w:eastAsiaTheme="minorEastAsia" w:hint="eastAsia"/>
          <w:sz w:val="14"/>
          <w:lang w:eastAsia="zh-CN"/>
        </w:rPr>
      </w:pPr>
    </w:p>
    <w:p w:rsidR="00AE3E37" w:rsidRPr="00C6322D" w:rsidRDefault="00A9710C">
      <w:pPr>
        <w:spacing w:before="62"/>
        <w:ind w:left="4217" w:right="4235"/>
        <w:jc w:val="center"/>
        <w:rPr>
          <w:rFonts w:ascii="Arial" w:eastAsiaTheme="minorEastAsia" w:hint="eastAsia"/>
          <w:sz w:val="14"/>
          <w:lang w:eastAsia="zh-CN"/>
        </w:rPr>
      </w:pPr>
      <w:r>
        <w:rPr>
          <w:rFonts w:ascii="Arial"/>
          <w:sz w:val="14"/>
        </w:rPr>
        <w:t xml:space="preserve">Email: </w:t>
      </w:r>
      <w:r w:rsidR="00C6322D">
        <w:rPr>
          <w:rFonts w:ascii="Arial" w:eastAsiaTheme="minorEastAsia" w:hint="eastAsia"/>
          <w:sz w:val="14"/>
          <w:lang w:eastAsia="zh-CN"/>
        </w:rPr>
        <w:t>live4love@zju.edu.cn</w:t>
      </w:r>
    </w:p>
    <w:p w:rsidR="00AE3E37" w:rsidRDefault="00CB2D74">
      <w:pPr>
        <w:pStyle w:val="a3"/>
        <w:spacing w:before="2"/>
        <w:rPr>
          <w:rFonts w:ascii="Arial"/>
          <w:sz w:val="19"/>
        </w:rPr>
      </w:pPr>
      <w:r w:rsidRPr="00CB2D74">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C6322D" w:rsidRDefault="00C6322D">
      <w:pPr>
        <w:spacing w:before="39"/>
        <w:ind w:left="100"/>
        <w:rPr>
          <w:rFonts w:ascii="Minion Pro" w:eastAsiaTheme="minorEastAsia" w:hint="eastAsia"/>
          <w:b/>
          <w:sz w:val="20"/>
          <w:lang w:eastAsia="zh-CN"/>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C6322D" w:rsidRPr="00304DFA" w:rsidRDefault="00C6322D" w:rsidP="00C6322D">
      <w:pPr>
        <w:spacing w:line="200" w:lineRule="exact"/>
        <w:jc w:val="both"/>
        <w:rPr>
          <w:rFonts w:ascii="Calibri" w:eastAsiaTheme="minorEastAsia" w:hAnsi="Calibri"/>
          <w:lang w:eastAsia="zh-CN"/>
        </w:rPr>
      </w:pPr>
      <w:r>
        <w:rPr>
          <w:rFonts w:ascii="Calibri" w:eastAsiaTheme="minorEastAsia" w:hAnsi="Calibri" w:hint="eastAsia"/>
          <w:lang w:eastAsia="zh-CN"/>
        </w:rPr>
        <w:lastRenderedPageBreak/>
        <w:t>Kai-Bo Chen is a</w:t>
      </w:r>
      <w:r w:rsidRPr="00304DFA">
        <w:rPr>
          <w:rFonts w:ascii="Calibri" w:eastAsiaTheme="minorEastAsia" w:hAnsi="Calibri"/>
          <w:lang w:eastAsia="zh-CN"/>
        </w:rPr>
        <w:t xml:space="preserve"> general surgeon, working in the Second Affiliated Hospital of Zhejiang University,</w:t>
      </w:r>
      <w:r>
        <w:rPr>
          <w:rFonts w:ascii="Calibri" w:eastAsiaTheme="minorEastAsia" w:hAnsi="Calibri"/>
          <w:lang w:eastAsia="zh-CN"/>
        </w:rPr>
        <w:t xml:space="preserve"> College of Medicine, Hangzhou, who</w:t>
      </w:r>
      <w:r>
        <w:rPr>
          <w:rFonts w:ascii="Calibri" w:eastAsiaTheme="minorEastAsia" w:hAnsi="Calibri" w:hint="eastAsia"/>
          <w:lang w:eastAsia="zh-CN"/>
        </w:rPr>
        <w:t xml:space="preserve"> has</w:t>
      </w:r>
      <w:r>
        <w:rPr>
          <w:rFonts w:ascii="Calibri" w:eastAsiaTheme="minorEastAsia" w:hAnsi="Calibri"/>
          <w:lang w:eastAsia="zh-CN"/>
        </w:rPr>
        <w:t xml:space="preserve"> </w:t>
      </w:r>
      <w:r w:rsidRPr="00304DFA">
        <w:rPr>
          <w:rFonts w:ascii="Calibri" w:eastAsiaTheme="minorEastAsia" w:hAnsi="Calibri"/>
          <w:lang w:eastAsia="zh-CN"/>
        </w:rPr>
        <w:t xml:space="preserve">graduated from the Zhejiang University with Bachelor degree of Life Science and MD degree in the year of 2014. </w:t>
      </w:r>
      <w:r>
        <w:rPr>
          <w:rFonts w:ascii="Calibri" w:eastAsiaTheme="minorEastAsia" w:hAnsi="Calibri" w:hint="eastAsia"/>
          <w:lang w:eastAsia="zh-CN"/>
        </w:rPr>
        <w:t xml:space="preserve">He is now </w:t>
      </w:r>
      <w:r w:rsidRPr="00304DFA">
        <w:rPr>
          <w:rFonts w:ascii="Calibri" w:eastAsiaTheme="minorEastAsia" w:hAnsi="Calibri"/>
          <w:lang w:eastAsia="zh-CN"/>
        </w:rPr>
        <w:t xml:space="preserve">a fellow </w:t>
      </w:r>
      <w:r w:rsidRPr="00304DFA">
        <w:rPr>
          <w:rFonts w:ascii="Calibri" w:eastAsiaTheme="minorEastAsia" w:hAnsi="Calibri"/>
          <w:lang w:eastAsia="zh-CN"/>
        </w:rPr>
        <w:lastRenderedPageBreak/>
        <w:t xml:space="preserve">doctor, well trained in general surgery, especially in open or laparoscopic gastrectomy as well as thyroidectomy. </w:t>
      </w:r>
    </w:p>
    <w:p w:rsidR="00C6322D" w:rsidRPr="00304DFA" w:rsidRDefault="00C6322D" w:rsidP="00C6322D">
      <w:pPr>
        <w:spacing w:line="200" w:lineRule="exact"/>
        <w:jc w:val="both"/>
        <w:rPr>
          <w:rFonts w:ascii="Calibri" w:eastAsiaTheme="minorEastAsia" w:hAnsi="Calibri" w:hint="eastAsia"/>
          <w:lang w:eastAsia="zh-CN"/>
        </w:rPr>
        <w:sectPr w:rsidR="00C6322D" w:rsidRPr="00304DFA">
          <w:type w:val="continuous"/>
          <w:pgSz w:w="11910" w:h="16840"/>
          <w:pgMar w:top="1740" w:right="600" w:bottom="840" w:left="620" w:header="720" w:footer="720" w:gutter="0"/>
          <w:cols w:num="2" w:space="720" w:equalWidth="0">
            <w:col w:w="5214" w:space="138"/>
            <w:col w:w="5338"/>
          </w:cols>
        </w:sectPr>
      </w:pPr>
      <w:r>
        <w:rPr>
          <w:rFonts w:ascii="Calibri" w:eastAsiaTheme="minorEastAsia" w:hAnsi="Calibri" w:hint="eastAsia"/>
          <w:lang w:eastAsia="zh-CN"/>
        </w:rPr>
        <w:t>He</w:t>
      </w:r>
      <w:r>
        <w:rPr>
          <w:rFonts w:ascii="Calibri" w:eastAsiaTheme="minorEastAsia" w:hAnsi="Calibri"/>
          <w:lang w:eastAsia="zh-CN"/>
        </w:rPr>
        <w:t xml:space="preserve"> also do</w:t>
      </w:r>
      <w:r>
        <w:rPr>
          <w:rFonts w:ascii="Calibri" w:eastAsiaTheme="minorEastAsia" w:hAnsi="Calibri" w:hint="eastAsia"/>
          <w:lang w:eastAsia="zh-CN"/>
        </w:rPr>
        <w:t>es</w:t>
      </w:r>
      <w:r w:rsidRPr="00304DFA">
        <w:rPr>
          <w:rFonts w:ascii="Calibri" w:eastAsiaTheme="minorEastAsia" w:hAnsi="Calibri"/>
          <w:lang w:eastAsia="zh-CN"/>
        </w:rPr>
        <w:t xml:space="preserve"> some </w:t>
      </w:r>
      <w:r>
        <w:rPr>
          <w:rFonts w:ascii="Calibri" w:eastAsiaTheme="minorEastAsia" w:hAnsi="Calibri" w:hint="eastAsia"/>
          <w:lang w:eastAsia="zh-CN"/>
        </w:rPr>
        <w:t xml:space="preserve">clinical and laboratory </w:t>
      </w:r>
      <w:r w:rsidRPr="00304DFA">
        <w:rPr>
          <w:rFonts w:ascii="Calibri" w:eastAsiaTheme="minorEastAsia" w:hAnsi="Calibri"/>
          <w:lang w:eastAsia="zh-CN"/>
        </w:rPr>
        <w:t xml:space="preserve">researches about gastric cancer, </w:t>
      </w:r>
      <w:r>
        <w:rPr>
          <w:rFonts w:ascii="Calibri" w:eastAsiaTheme="minorEastAsia" w:hAnsi="Calibri" w:hint="eastAsia"/>
          <w:lang w:eastAsia="zh-CN"/>
        </w:rPr>
        <w:t xml:space="preserve">especially </w:t>
      </w:r>
      <w:r w:rsidRPr="00304DFA">
        <w:rPr>
          <w:rFonts w:ascii="Calibri" w:eastAsiaTheme="minorEastAsia" w:hAnsi="Calibri"/>
          <w:lang w:eastAsia="zh-CN"/>
        </w:rPr>
        <w:t xml:space="preserve">the metastatic mechanism of gastric cancer, such as peritoneal metastasis. </w:t>
      </w:r>
    </w:p>
    <w:p w:rsidR="00C6322D" w:rsidRPr="00C6322D" w:rsidRDefault="00C6322D">
      <w:pPr>
        <w:pStyle w:val="a3"/>
        <w:spacing w:before="3"/>
        <w:rPr>
          <w:rFonts w:ascii="Minion Pro" w:eastAsiaTheme="minorEastAsia" w:hint="eastAsia"/>
          <w:sz w:val="26"/>
          <w:lang w:eastAsia="zh-CN"/>
        </w:rPr>
      </w:pPr>
    </w:p>
    <w:sectPr w:rsidR="00C6322D" w:rsidRPr="00C6322D" w:rsidSect="00CD6F55">
      <w:type w:val="continuous"/>
      <w:pgSz w:w="11910" w:h="16840"/>
      <w:pgMar w:top="1740" w:right="580" w:bottom="840" w:left="620" w:header="720" w:footer="720" w:gutter="0"/>
      <w:cols w:num="2" w:space="720" w:equalWidth="0">
        <w:col w:w="5214" w:space="138"/>
        <w:col w:w="5358"/>
      </w:cols>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30CB" w:rsidRDefault="00B830CB">
      <w:r>
        <w:separator/>
      </w:r>
    </w:p>
  </w:endnote>
  <w:endnote w:type="continuationSeparator" w:id="0">
    <w:p w:rsidR="00B830CB" w:rsidRDefault="00B830C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B2D74">
    <w:pPr>
      <w:pStyle w:val="a3"/>
      <w:spacing w:line="14" w:lineRule="auto"/>
      <w:rPr>
        <w:sz w:val="20"/>
      </w:rPr>
    </w:pPr>
    <w:r w:rsidRPr="00CB2D7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B2D7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B2D7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30CB" w:rsidRDefault="00B830CB">
      <w:r>
        <w:separator/>
      </w:r>
    </w:p>
  </w:footnote>
  <w:footnote w:type="continuationSeparator" w:id="0">
    <w:p w:rsidR="00B830CB" w:rsidRDefault="00B830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B2D74">
    <w:pPr>
      <w:pStyle w:val="a3"/>
      <w:spacing w:line="14" w:lineRule="auto"/>
      <w:rPr>
        <w:sz w:val="20"/>
      </w:rPr>
    </w:pPr>
    <w:r w:rsidRPr="00CB2D7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B2D7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useFELayout/>
  </w:compat>
  <w:rsids>
    <w:rsidRoot w:val="00AE3E37"/>
    <w:rsid w:val="000E2911"/>
    <w:rsid w:val="001263DF"/>
    <w:rsid w:val="002455EC"/>
    <w:rsid w:val="00292ED9"/>
    <w:rsid w:val="00304DFA"/>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830CB"/>
    <w:rsid w:val="00C33602"/>
    <w:rsid w:val="00C6322D"/>
    <w:rsid w:val="00CB2D74"/>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Administrator</cp:lastModifiedBy>
  <cp:revision>3</cp:revision>
  <dcterms:created xsi:type="dcterms:W3CDTF">2016-12-06T11:19:00Z</dcterms:created>
  <dcterms:modified xsi:type="dcterms:W3CDTF">2018-03-20T12:41:00Z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