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E6D" w:rsidRPr="00713E6D" w:rsidRDefault="00713E6D" w:rsidP="00713E6D">
      <w:pPr>
        <w:shd w:val="clear" w:color="auto" w:fill="FFFFFF"/>
        <w:spacing w:before="240" w:after="12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  <w:r w:rsidRPr="00713E6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Epithelial cell specific Raptor is required for initiation of type 2 mucosal immunity in small intestine.</w:t>
      </w:r>
    </w:p>
    <w:p w:rsidR="00713E6D" w:rsidRPr="00713E6D" w:rsidRDefault="00713E6D" w:rsidP="00713E6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hyperlink r:id="rId4" w:history="1"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>Aladegbami B</w:t>
        </w:r>
      </w:hyperlink>
      <w:r w:rsidRPr="00713E6D">
        <w:rPr>
          <w:rFonts w:ascii="Arial" w:eastAsia="Times New Roman" w:hAnsi="Arial" w:cs="Arial"/>
          <w:sz w:val="17"/>
          <w:szCs w:val="17"/>
          <w:vertAlign w:val="superscript"/>
        </w:rPr>
        <w:t>1</w:t>
      </w:r>
      <w:r w:rsidRPr="00713E6D">
        <w:rPr>
          <w:rFonts w:ascii="Arial" w:eastAsia="Times New Roman" w:hAnsi="Arial" w:cs="Arial"/>
          <w:sz w:val="20"/>
          <w:szCs w:val="20"/>
        </w:rPr>
        <w:t xml:space="preserve">, </w:t>
      </w:r>
      <w:hyperlink r:id="rId5" w:history="1"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>Barron L</w:t>
        </w:r>
      </w:hyperlink>
      <w:r w:rsidRPr="00713E6D">
        <w:rPr>
          <w:rFonts w:ascii="Arial" w:eastAsia="Times New Roman" w:hAnsi="Arial" w:cs="Arial"/>
          <w:sz w:val="17"/>
          <w:szCs w:val="17"/>
          <w:vertAlign w:val="superscript"/>
        </w:rPr>
        <w:t>1</w:t>
      </w:r>
      <w:r w:rsidRPr="00713E6D">
        <w:rPr>
          <w:rFonts w:ascii="Arial" w:eastAsia="Times New Roman" w:hAnsi="Arial" w:cs="Arial"/>
          <w:sz w:val="20"/>
          <w:szCs w:val="20"/>
        </w:rPr>
        <w:t xml:space="preserve">, </w:t>
      </w:r>
      <w:hyperlink r:id="rId6" w:history="1">
        <w:proofErr w:type="spellStart"/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>Bao</w:t>
        </w:r>
        <w:proofErr w:type="spellEnd"/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 xml:space="preserve"> J</w:t>
        </w:r>
      </w:hyperlink>
      <w:r w:rsidRPr="00713E6D">
        <w:rPr>
          <w:rFonts w:ascii="Arial" w:eastAsia="Times New Roman" w:hAnsi="Arial" w:cs="Arial"/>
          <w:sz w:val="17"/>
          <w:szCs w:val="17"/>
          <w:vertAlign w:val="superscript"/>
        </w:rPr>
        <w:t>2</w:t>
      </w:r>
      <w:r w:rsidRPr="00713E6D">
        <w:rPr>
          <w:rFonts w:ascii="Arial" w:eastAsia="Times New Roman" w:hAnsi="Arial" w:cs="Arial"/>
          <w:sz w:val="20"/>
          <w:szCs w:val="20"/>
        </w:rPr>
        <w:t xml:space="preserve">, </w:t>
      </w:r>
      <w:hyperlink r:id="rId7" w:history="1">
        <w:proofErr w:type="spellStart"/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>Colasanti</w:t>
        </w:r>
        <w:proofErr w:type="spellEnd"/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 xml:space="preserve"> J</w:t>
        </w:r>
      </w:hyperlink>
      <w:r w:rsidRPr="00713E6D">
        <w:rPr>
          <w:rFonts w:ascii="Arial" w:eastAsia="Times New Roman" w:hAnsi="Arial" w:cs="Arial"/>
          <w:sz w:val="17"/>
          <w:szCs w:val="17"/>
          <w:vertAlign w:val="superscript"/>
        </w:rPr>
        <w:t>3</w:t>
      </w:r>
      <w:r w:rsidRPr="00713E6D">
        <w:rPr>
          <w:rFonts w:ascii="Arial" w:eastAsia="Times New Roman" w:hAnsi="Arial" w:cs="Arial"/>
          <w:sz w:val="20"/>
          <w:szCs w:val="20"/>
        </w:rPr>
        <w:t xml:space="preserve">, </w:t>
      </w:r>
      <w:hyperlink r:id="rId8" w:history="1"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>Erwin CR</w:t>
        </w:r>
      </w:hyperlink>
      <w:r w:rsidRPr="00713E6D">
        <w:rPr>
          <w:rFonts w:ascii="Arial" w:eastAsia="Times New Roman" w:hAnsi="Arial" w:cs="Arial"/>
          <w:sz w:val="17"/>
          <w:szCs w:val="17"/>
          <w:vertAlign w:val="superscript"/>
        </w:rPr>
        <w:t>1</w:t>
      </w:r>
      <w:r w:rsidRPr="00713E6D">
        <w:rPr>
          <w:rFonts w:ascii="Arial" w:eastAsia="Times New Roman" w:hAnsi="Arial" w:cs="Arial"/>
          <w:sz w:val="20"/>
          <w:szCs w:val="20"/>
        </w:rPr>
        <w:t xml:space="preserve">, </w:t>
      </w:r>
      <w:hyperlink r:id="rId9" w:history="1"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>Warner BW</w:t>
        </w:r>
      </w:hyperlink>
      <w:r w:rsidRPr="00713E6D">
        <w:rPr>
          <w:rFonts w:ascii="Arial" w:eastAsia="Times New Roman" w:hAnsi="Arial" w:cs="Arial"/>
          <w:sz w:val="17"/>
          <w:szCs w:val="17"/>
          <w:vertAlign w:val="superscript"/>
        </w:rPr>
        <w:t>1</w:t>
      </w:r>
      <w:r w:rsidRPr="00713E6D">
        <w:rPr>
          <w:rFonts w:ascii="Arial" w:eastAsia="Times New Roman" w:hAnsi="Arial" w:cs="Arial"/>
          <w:sz w:val="20"/>
          <w:szCs w:val="20"/>
        </w:rPr>
        <w:t xml:space="preserve">, </w:t>
      </w:r>
      <w:hyperlink r:id="rId10" w:history="1">
        <w:r w:rsidRPr="00713E6D">
          <w:rPr>
            <w:rFonts w:ascii="Arial" w:eastAsia="Times New Roman" w:hAnsi="Arial" w:cs="Arial"/>
            <w:color w:val="2F4A8B"/>
            <w:sz w:val="20"/>
            <w:szCs w:val="20"/>
            <w:u w:val="single"/>
          </w:rPr>
          <w:t>Guo J</w:t>
        </w:r>
      </w:hyperlink>
      <w:r w:rsidRPr="00713E6D">
        <w:rPr>
          <w:rFonts w:ascii="Arial" w:eastAsia="Times New Roman" w:hAnsi="Arial" w:cs="Arial"/>
          <w:sz w:val="17"/>
          <w:szCs w:val="17"/>
          <w:vertAlign w:val="superscript"/>
        </w:rPr>
        <w:t>4</w:t>
      </w:r>
      <w:r w:rsidRPr="00713E6D">
        <w:rPr>
          <w:rFonts w:ascii="Arial" w:eastAsia="Times New Roman" w:hAnsi="Arial" w:cs="Arial"/>
          <w:sz w:val="20"/>
          <w:szCs w:val="20"/>
        </w:rPr>
        <w:t>.</w:t>
      </w:r>
    </w:p>
    <w:p w:rsidR="00713E6D" w:rsidRPr="00713E6D" w:rsidRDefault="00713E6D" w:rsidP="00713E6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713E6D" w:rsidRPr="00713E6D" w:rsidRDefault="00713E6D" w:rsidP="00713E6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  <w:r w:rsidRPr="00713E6D">
        <w:rPr>
          <w:rFonts w:ascii="Arial" w:eastAsia="Times New Roman" w:hAnsi="Arial" w:cs="Arial"/>
          <w:sz w:val="20"/>
          <w:szCs w:val="20"/>
        </w:rPr>
        <w:t>Division of Pediatric Surgery, St Louis Children's Hospital, Department of Surgery, Washington University School of Medicine, St. Louis, MO, 63110, USA. guoj@wudosis.wustl.edu.</w:t>
      </w:r>
    </w:p>
    <w:p w:rsidR="00713E6D" w:rsidRPr="00713E6D" w:rsidRDefault="00713E6D" w:rsidP="00713E6D">
      <w:pPr>
        <w:shd w:val="clear" w:color="auto" w:fill="FFFFFF"/>
        <w:spacing w:before="308" w:after="154" w:line="240" w:lineRule="auto"/>
        <w:ind w:left="960"/>
        <w:outlineLvl w:val="2"/>
        <w:rPr>
          <w:rFonts w:ascii="Arial" w:eastAsia="Times New Roman" w:hAnsi="Arial" w:cs="Arial"/>
          <w:b/>
          <w:bCs/>
          <w:color w:val="724128"/>
        </w:rPr>
      </w:pPr>
      <w:r w:rsidRPr="00713E6D">
        <w:rPr>
          <w:rFonts w:ascii="Arial" w:eastAsia="Times New Roman" w:hAnsi="Arial" w:cs="Arial"/>
          <w:b/>
          <w:bCs/>
          <w:color w:val="724128"/>
        </w:rPr>
        <w:t>Abstract</w:t>
      </w:r>
      <w:bookmarkStart w:id="0" w:name="_GoBack"/>
      <w:bookmarkEnd w:id="0"/>
    </w:p>
    <w:p w:rsidR="00713E6D" w:rsidRPr="00713E6D" w:rsidRDefault="00713E6D" w:rsidP="00713E6D">
      <w:pPr>
        <w:shd w:val="clear" w:color="auto" w:fill="FFFFFF"/>
        <w:spacing w:before="100" w:beforeAutospacing="1" w:after="100" w:afterAutospacing="1" w:line="240" w:lineRule="auto"/>
        <w:ind w:left="960"/>
        <w:rPr>
          <w:rFonts w:ascii="Arial" w:eastAsia="Times New Roman" w:hAnsi="Arial" w:cs="Arial"/>
          <w:sz w:val="20"/>
          <w:szCs w:val="20"/>
        </w:rPr>
      </w:pPr>
      <w:r w:rsidRPr="00713E6D">
        <w:rPr>
          <w:rFonts w:ascii="Arial" w:eastAsia="Times New Roman" w:hAnsi="Arial" w:cs="Arial"/>
          <w:sz w:val="20"/>
          <w:szCs w:val="20"/>
        </w:rPr>
        <w:t>Intestinal tuft cells are one of 4 secretory cell linages in the small intestine and the source of IL-25, a critical initiator of the type 2 immune response to parasite infection. When Raptor, a critical scaffold protein for mammalian target of rapamycin complex 1 (mTORC1), was acutely deleted in intestinal epithelium via Tamoxifen injection in Tritrichomonas muris (Tm) infected mice, tuft cells, IL-25 in epithelium and IL-13 in the mesenchyme were significantly reduced, but Tm burden was not affected. When Tm infected mice were treated with rapamycin, DCLK1 and IL-25 expression in enterocytes and IL-13 expression in mesenchyme were diminished. After massive small bowel resection, tuft cells and Tm were diminished due to the diet used postoperatively. The elimination of Tm and subsequent re-infection of mice with Tm led to type 2 immune response only in WT, but Tm colonization in both WT and Raptor deficient mice. When intestinal organoids were stimulated with IL-4, tuft cells and IL-25 were induced in both WT and Raptor deficient organoids. In summary, our study reveals that enterocyte specific Raptor is required for initiating a type 2 immune response which appears to function through the regulation of mTORC1 activity.</w:t>
      </w:r>
    </w:p>
    <w:p w:rsidR="00FF4D3E" w:rsidRDefault="00FF4D3E"/>
    <w:sectPr w:rsidR="00FF4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6D"/>
    <w:rsid w:val="00713E6D"/>
    <w:rsid w:val="00FF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9C2525-08EA-4B75-B089-94395A5C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317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915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7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3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53802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42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55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63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1750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50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Erwin%20CR%5BAuthor%5D&amp;cauthor=true&amp;cauthor_uid=287172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?term=Colasanti%20J%5BAuthor%5D&amp;cauthor=true&amp;cauthor_uid=2871721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term=Bao%20J%5BAuthor%5D&amp;cauthor=true&amp;cauthor_uid=2871721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cbi.nlm.nih.gov/pubmed/?term=Barron%20L%5BAuthor%5D&amp;cauthor=true&amp;cauthor_uid=28717211" TargetMode="External"/><Relationship Id="rId10" Type="http://schemas.openxmlformats.org/officeDocument/2006/relationships/hyperlink" Target="https://www.ncbi.nlm.nih.gov/pubmed/?term=Guo%20J%5BAuthor%5D&amp;cauthor=true&amp;cauthor_uid=28717211" TargetMode="External"/><Relationship Id="rId4" Type="http://schemas.openxmlformats.org/officeDocument/2006/relationships/hyperlink" Target="https://www.ncbi.nlm.nih.gov/pubmed/?term=Aladegbami%20B%5BAuthor%5D&amp;cauthor=true&amp;cauthor_uid=28717211" TargetMode="External"/><Relationship Id="rId9" Type="http://schemas.openxmlformats.org/officeDocument/2006/relationships/hyperlink" Target="https://www.ncbi.nlm.nih.gov/pubmed/?term=Warner%20BW%5BAuthor%5D&amp;cauthor=true&amp;cauthor_uid=28717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Guo, Jun</dc:creator>
  <cp:keywords/>
  <dc:description/>
  <cp:lastModifiedBy>Guo, Jun</cp:lastModifiedBy>
  <cp:revision>1</cp:revision>
  <dcterms:created xsi:type="dcterms:W3CDTF">2018-01-12T14:16:00Z</dcterms:created>
  <dcterms:modified xsi:type="dcterms:W3CDTF">2018-01-12T14:17:00Z</dcterms:modified>
</cp:coreProperties>
</file>