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632671">
        <w:rPr>
          <w:rFonts w:ascii="Times New Roman" w:eastAsia="Tw Cen MT" w:hAnsi="Times New Roman" w:cs="Times New Roman"/>
          <w:b/>
          <w:sz w:val="24"/>
          <w:szCs w:val="24"/>
          <w:lang w:val="en-US"/>
        </w:rPr>
        <w:t>‘’Gastroeneterology,hepatology complications during COVID-19 pandemic with endoscopy planning –the dilemna’’</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243522" w:rsidRDefault="00632671" w:rsidP="00194BF9">
      <w:pPr>
        <w:spacing w:after="0" w:line="240" w:lineRule="auto"/>
        <w:jc w:val="center"/>
        <w:rPr>
          <w:rFonts w:ascii="Times New Roman" w:eastAsia="Tw Cen MT" w:hAnsi="Times New Roman" w:cs="Times New Roman"/>
          <w:sz w:val="24"/>
          <w:szCs w:val="24"/>
          <w:lang w:val="en-US"/>
        </w:rPr>
      </w:pPr>
      <w:r w:rsidRPr="00235FE2">
        <w:rPr>
          <w:b/>
        </w:rPr>
        <w:t>Kulvinder Kochar Kaur</w:t>
      </w:r>
      <w:r>
        <w:rPr>
          <w:b/>
          <w:vertAlign w:val="superscript"/>
        </w:rPr>
        <w:t>1</w:t>
      </w:r>
      <w:r w:rsidR="006B3217" w:rsidRPr="00194BF9">
        <w:rPr>
          <w:rFonts w:ascii="Times New Roman" w:eastAsia="Tw Cen MT" w:hAnsi="Times New Roman" w:cs="Times New Roman"/>
          <w:sz w:val="24"/>
          <w:szCs w:val="24"/>
          <w:lang w:val="en-US"/>
        </w:rPr>
        <w:t>,</w:t>
      </w:r>
      <w:r w:rsidRPr="00632671">
        <w:rPr>
          <w:b/>
        </w:rPr>
        <w:t xml:space="preserve"> </w:t>
      </w:r>
      <w:r w:rsidRPr="00235FE2">
        <w:rPr>
          <w:b/>
        </w:rPr>
        <w:t>Gautam Allahbadia</w:t>
      </w:r>
      <w:r>
        <w:rPr>
          <w:b/>
          <w:vertAlign w:val="superscript"/>
        </w:rPr>
        <w:t>2</w:t>
      </w:r>
      <w:r>
        <w:rPr>
          <w:rFonts w:ascii="Times New Roman" w:eastAsia="Tw Cen MT" w:hAnsi="Times New Roman" w:cs="Times New Roman"/>
          <w:sz w:val="24"/>
          <w:szCs w:val="24"/>
          <w:lang w:val="en-US"/>
        </w:rPr>
        <w:t>,</w:t>
      </w:r>
      <w:r w:rsidR="00243522" w:rsidRPr="00243522">
        <w:rPr>
          <w:b/>
        </w:rPr>
        <w:t xml:space="preserve"> </w:t>
      </w:r>
      <w:r w:rsidR="00243522" w:rsidRPr="00235FE2">
        <w:rPr>
          <w:b/>
        </w:rPr>
        <w:t>Mandeep Singh</w:t>
      </w:r>
      <w:r w:rsidR="00243522">
        <w:rPr>
          <w:b/>
          <w:vertAlign w:val="superscript"/>
        </w:rPr>
        <w:t>3</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243522" w:rsidRPr="00243522" w:rsidRDefault="00243522" w:rsidP="00243522">
      <w:pPr>
        <w:pStyle w:val="ListParagraph"/>
        <w:numPr>
          <w:ilvl w:val="0"/>
          <w:numId w:val="3"/>
        </w:numPr>
        <w:rPr>
          <w:b/>
        </w:rPr>
      </w:pPr>
      <w:r w:rsidRPr="00243522">
        <w:rPr>
          <w:b/>
        </w:rPr>
        <w:t>Dr Kulvinder  Kaur Centre For Human Reproduction</w:t>
      </w:r>
      <w:r>
        <w:rPr>
          <w:b/>
        </w:rPr>
        <w:t>,Jalandhar ,Punjab ,India</w:t>
      </w:r>
    </w:p>
    <w:p w:rsidR="00243522" w:rsidRPr="00243522" w:rsidRDefault="00243522" w:rsidP="00243522">
      <w:pPr>
        <w:pStyle w:val="ListParagraph"/>
        <w:numPr>
          <w:ilvl w:val="0"/>
          <w:numId w:val="3"/>
        </w:numPr>
        <w:rPr>
          <w:b/>
        </w:rPr>
      </w:pPr>
      <w:r w:rsidRPr="00243522">
        <w:rPr>
          <w:b/>
        </w:rPr>
        <w:t>Ex-Rotunda-A Centre for Human Reproduction</w:t>
      </w:r>
      <w:r>
        <w:rPr>
          <w:b/>
        </w:rPr>
        <w:t>,Mumbai,Maharashtra ,India</w:t>
      </w:r>
    </w:p>
    <w:p w:rsidR="00243522" w:rsidRPr="00243522" w:rsidRDefault="00243522" w:rsidP="00243522">
      <w:pPr>
        <w:pStyle w:val="ListParagraph"/>
        <w:numPr>
          <w:ilvl w:val="0"/>
          <w:numId w:val="3"/>
        </w:numPr>
        <w:rPr>
          <w:b/>
        </w:rPr>
      </w:pPr>
      <w:r w:rsidRPr="00243522">
        <w:rPr>
          <w:b/>
        </w:rPr>
        <w:t>Swami Satyanand Hospital</w:t>
      </w:r>
      <w:r>
        <w:rPr>
          <w:b/>
        </w:rPr>
        <w:t>,</w:t>
      </w:r>
      <w:r w:rsidRPr="00243522">
        <w:rPr>
          <w:b/>
        </w:rPr>
        <w:t xml:space="preserve"> </w:t>
      </w:r>
      <w:r>
        <w:rPr>
          <w:b/>
        </w:rPr>
        <w:t>Jalandhar ,Punjab ,India</w:t>
      </w:r>
    </w:p>
    <w:p w:rsidR="00243522" w:rsidRPr="00243522" w:rsidRDefault="00243522" w:rsidP="00243522">
      <w:pPr>
        <w:pStyle w:val="ListParagraph"/>
        <w:ind w:left="720" w:firstLine="0"/>
        <w:rPr>
          <w:b/>
        </w:rPr>
      </w:pPr>
    </w:p>
    <w:p w:rsidR="006B3217" w:rsidRPr="00243522" w:rsidRDefault="006B3217" w:rsidP="00243522">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A459C2" w:rsidRPr="00EC4269" w:rsidRDefault="00A459C2" w:rsidP="00A459C2">
      <w:pPr>
        <w:autoSpaceDE w:val="0"/>
        <w:autoSpaceDN w:val="0"/>
        <w:adjustRightInd w:val="0"/>
        <w:spacing w:after="0" w:line="240" w:lineRule="auto"/>
        <w:rPr>
          <w:rFonts w:ascii="SabonLTStd-Roman" w:hAnsi="SabonLTStd-Roman" w:cs="SabonLTStd-Roman"/>
        </w:rPr>
      </w:pPr>
      <w:r w:rsidRPr="00D23CB6">
        <w:rPr>
          <w:rFonts w:ascii="SabonLTStd-Roman" w:hAnsi="SabonLTStd-Roman" w:cs="SabonLTStd-Roman"/>
        </w:rPr>
        <w:lastRenderedPageBreak/>
        <w:t>Digestive symptoms including anorexia, nausea, vomiting, diarrhea (N,V,D)</w:t>
      </w:r>
      <w:r>
        <w:rPr>
          <w:rFonts w:ascii="SabonLTStd-Roman" w:hAnsi="SabonLTStd-Roman" w:cs="SabonLTStd-Roman"/>
        </w:rPr>
        <w:t>-</w:t>
      </w:r>
      <w:r w:rsidRPr="00D23CB6">
        <w:rPr>
          <w:rFonts w:ascii="SabonLTStd-Roman" w:hAnsi="SabonLTStd-Roman" w:cs="SabonLTStd-Roman"/>
        </w:rPr>
        <w:t xml:space="preserve"> frequently reported in patients withCOVID-19-disease[CD]) .SARS-CoV-2 RNA was first detected in stool of the </w:t>
      </w:r>
      <w:r>
        <w:rPr>
          <w:rFonts w:ascii="SabonLTStd-Roman" w:hAnsi="SabonLTStd-Roman" w:cs="SabonLTStd-Roman"/>
        </w:rPr>
        <w:t>1</w:t>
      </w:r>
      <w:r w:rsidRPr="00EC4269">
        <w:rPr>
          <w:rFonts w:ascii="SabonLTStd-Roman" w:hAnsi="SabonLTStd-Roman" w:cs="SabonLTStd-Roman"/>
          <w:vertAlign w:val="superscript"/>
        </w:rPr>
        <w:t>st</w:t>
      </w:r>
      <w:r>
        <w:rPr>
          <w:rFonts w:ascii="SabonLTStd-Roman" w:hAnsi="SabonLTStd-Roman" w:cs="SabonLTStd-Roman"/>
        </w:rPr>
        <w:t xml:space="preserve"> </w:t>
      </w:r>
      <w:r w:rsidRPr="00D23CB6">
        <w:rPr>
          <w:rFonts w:ascii="SabonLTStd-Roman" w:hAnsi="SabonLTStd-Roman" w:cs="SabonLTStd-Roman"/>
        </w:rPr>
        <w:t>reported CD-19 case in the USA, who also presented with  the digestive symptoms of (N.V,D)</w:t>
      </w:r>
      <w:r>
        <w:rPr>
          <w:rFonts w:ascii="SabonLTStd-Roman" w:hAnsi="SabonLTStd-Roman" w:cs="SabonLTStd-Roman"/>
        </w:rPr>
        <w:t>.</w:t>
      </w:r>
      <w:r w:rsidRPr="00D23CB6">
        <w:rPr>
          <w:rFonts w:ascii="SabonLTStd-Roman" w:hAnsi="SabonLTStd-Roman" w:cs="SabonLTStd-Roman"/>
        </w:rPr>
        <w:t xml:space="preserve"> In the biggest cohort </w:t>
      </w:r>
      <w:r>
        <w:rPr>
          <w:rFonts w:ascii="SabonLTStd-Roman" w:hAnsi="SabonLTStd-Roman" w:cs="SabonLTStd-Roman"/>
        </w:rPr>
        <w:t>-</w:t>
      </w:r>
      <w:r w:rsidRPr="00D23CB6">
        <w:rPr>
          <w:rFonts w:ascii="SabonLTStd-Roman" w:hAnsi="SabonLTStd-Roman" w:cs="SabonLTStd-Roman"/>
        </w:rPr>
        <w:t>1099 patients with laboratory-confirmed CD-19 from 552  hospitals in China in Jan 2020,N,V,D</w:t>
      </w:r>
      <w:r>
        <w:rPr>
          <w:rFonts w:ascii="SabonLTStd-Roman" w:hAnsi="SabonLTStd-Roman" w:cs="SabonLTStd-Roman"/>
        </w:rPr>
        <w:t xml:space="preserve"> were reported in55</w:t>
      </w:r>
      <w:r w:rsidRPr="00D23CB6">
        <w:rPr>
          <w:rFonts w:ascii="SabonLTStd-Roman" w:hAnsi="SabonLTStd-Roman" w:cs="SabonLTStd-Roman"/>
        </w:rPr>
        <w:t>(5%) and</w:t>
      </w:r>
      <w:r>
        <w:rPr>
          <w:rFonts w:ascii="SabonLTStd-Roman" w:hAnsi="SabonLTStd-Roman" w:cs="SabonLTStd-Roman"/>
        </w:rPr>
        <w:t xml:space="preserve"> 42</w:t>
      </w:r>
      <w:r w:rsidRPr="00D23CB6">
        <w:rPr>
          <w:rFonts w:ascii="SabonLTStd-Roman" w:hAnsi="SabonLTStd-Roman" w:cs="SabonLTStd-Roman"/>
        </w:rPr>
        <w:t>(3.8%) patients, respectively. Of the204 patients with CD-19 and full</w:t>
      </w:r>
      <w:r>
        <w:rPr>
          <w:rFonts w:ascii="SabonLTStd-Roman" w:hAnsi="SabonLTStd-Roman" w:cs="SabonLTStd-Roman"/>
        </w:rPr>
        <w:t xml:space="preserve"> investigations </w:t>
      </w:r>
      <w:r w:rsidRPr="00D23CB6">
        <w:rPr>
          <w:rFonts w:ascii="SabonLTStd-Roman" w:hAnsi="SabonLTStd-Roman" w:cs="SabonLTStd-Roman"/>
        </w:rPr>
        <w:t xml:space="preserve">, 99 (48.5%) presented with digestive symptoms as </w:t>
      </w:r>
      <w:r>
        <w:rPr>
          <w:rFonts w:ascii="SabonLTStd-Roman" w:hAnsi="SabonLTStd-Roman" w:cs="SabonLTStd-Roman"/>
        </w:rPr>
        <w:t xml:space="preserve">main </w:t>
      </w:r>
      <w:r w:rsidRPr="00D23CB6">
        <w:rPr>
          <w:rFonts w:ascii="SabonLTStd-Roman" w:hAnsi="SabonLTStd-Roman" w:cs="SabonLTStd-Roman"/>
        </w:rPr>
        <w:t xml:space="preserve">complaint. Patients with digestive symptoms had  </w:t>
      </w:r>
      <w:r>
        <w:rPr>
          <w:rFonts w:ascii="SabonLTStd-Roman" w:hAnsi="SabonLTStd-Roman" w:cs="SabonLTStd-Roman"/>
        </w:rPr>
        <w:t xml:space="preserve">separate </w:t>
      </w:r>
      <w:r w:rsidRPr="00D23CB6">
        <w:rPr>
          <w:rFonts w:ascii="SabonLTStd-Roman" w:hAnsi="SabonLTStd-Roman" w:cs="SabonLTStd-Roman"/>
        </w:rPr>
        <w:t>manifestations,</w:t>
      </w:r>
      <w:r>
        <w:rPr>
          <w:rFonts w:ascii="SabonLTStd-Roman" w:hAnsi="SabonLTStd-Roman" w:cs="SabonLTStd-Roman"/>
        </w:rPr>
        <w:t xml:space="preserve">like anorexia (83.8%),V,D </w:t>
      </w:r>
      <w:r w:rsidRPr="00D23CB6">
        <w:rPr>
          <w:rFonts w:ascii="SabonLTStd-Roman" w:hAnsi="SabonLTStd-Roman" w:cs="SabonLTStd-Roman"/>
        </w:rPr>
        <w:t>and abdominal pain (0.4%).</w:t>
      </w:r>
      <w:r>
        <w:rPr>
          <w:rFonts w:ascii="SabonLTStd-Roman" w:hAnsi="SabonLTStd-Roman" w:cs="SabonLTStd-Roman"/>
        </w:rPr>
        <w:t xml:space="preserve"> Digestive symptoms -</w:t>
      </w:r>
      <w:r w:rsidRPr="00D23CB6">
        <w:rPr>
          <w:rFonts w:ascii="SabonLTStd-Roman" w:hAnsi="SabonLTStd-Roman" w:cs="SabonLTStd-Roman"/>
        </w:rPr>
        <w:t xml:space="preserve"> m</w:t>
      </w:r>
      <w:r>
        <w:rPr>
          <w:rFonts w:ascii="SabonLTStd-Roman" w:hAnsi="SabonLTStd-Roman" w:cs="SabonLTStd-Roman"/>
        </w:rPr>
        <w:t xml:space="preserve">ight </w:t>
      </w:r>
      <w:r w:rsidRPr="00D23CB6">
        <w:rPr>
          <w:rFonts w:ascii="SabonLTStd-Roman" w:hAnsi="SabonLTStd-Roman" w:cs="SabonLTStd-Roman"/>
        </w:rPr>
        <w:t xml:space="preserve"> be presentin</w:t>
      </w:r>
      <w:r>
        <w:rPr>
          <w:rFonts w:ascii="SabonLTStd-Roman" w:hAnsi="SabonLTStd-Roman" w:cs="SabonLTStd-Roman"/>
        </w:rPr>
        <w:t>g prior to</w:t>
      </w:r>
      <w:r w:rsidRPr="00D23CB6">
        <w:rPr>
          <w:rFonts w:ascii="SabonLTStd-Roman" w:hAnsi="SabonLTStd-Roman" w:cs="SabonLTStd-Roman"/>
        </w:rPr>
        <w:t xml:space="preserve"> respiratory symptoms, </w:t>
      </w:r>
      <w:r>
        <w:rPr>
          <w:rFonts w:ascii="SabonLTStd-Roman" w:hAnsi="SabonLTStd-Roman" w:cs="SabonLTStd-Roman"/>
        </w:rPr>
        <w:t xml:space="preserve">or onlysymptoms </w:t>
      </w:r>
      <w:r w:rsidRPr="00D23CB6">
        <w:rPr>
          <w:rFonts w:ascii="SabonLTStd-Roman" w:hAnsi="SabonLTStd-Roman" w:cs="SabonLTStd-Roman"/>
        </w:rPr>
        <w:t>of  CD</w:t>
      </w:r>
      <w:r>
        <w:rPr>
          <w:rFonts w:ascii="SabonLTStd-Roman" w:hAnsi="SabonLTStd-Roman" w:cs="SabonLTStd-Roman"/>
        </w:rPr>
        <w:t>-19</w:t>
      </w:r>
      <w:r w:rsidRPr="00D23CB6">
        <w:rPr>
          <w:rFonts w:ascii="SabonLTStd-Roman" w:hAnsi="SabonLTStd-Roman" w:cs="SabonLTStd-Roman"/>
        </w:rPr>
        <w:t xml:space="preserve"> The mode for  GITinfection of SARSCoV is ACE2 cell receptor.SARS-CoV-2, having genome  sequence</w:t>
      </w:r>
      <w:r>
        <w:rPr>
          <w:rFonts w:ascii="SabonLTStd-Roman" w:hAnsi="SabonLTStd-Roman" w:cs="SabonLTStd-Roman"/>
        </w:rPr>
        <w:t xml:space="preserve"> of </w:t>
      </w:r>
      <w:r w:rsidRPr="00D23CB6">
        <w:rPr>
          <w:rFonts w:ascii="SabonLTStd-Roman" w:hAnsi="SabonLTStd-Roman" w:cs="SabonLTStd-Roman"/>
        </w:rPr>
        <w:t xml:space="preserve"> SARS-CoV</w:t>
      </w:r>
      <w:r>
        <w:rPr>
          <w:rFonts w:ascii="SabonLTStd-Roman" w:hAnsi="SabonLTStd-Roman" w:cs="SabonLTStd-Roman"/>
        </w:rPr>
        <w:t>(82%)</w:t>
      </w:r>
      <w:r w:rsidRPr="00D23CB6">
        <w:rPr>
          <w:rFonts w:ascii="SabonLTStd-Roman" w:hAnsi="SabonLTStd-Roman" w:cs="SabonLTStd-Roman"/>
        </w:rPr>
        <w:t xml:space="preserve">, might use the same ACE2, </w:t>
      </w:r>
      <w:r>
        <w:rPr>
          <w:rFonts w:ascii="SabonLTStd-Roman" w:hAnsi="SabonLTStd-Roman" w:cs="SabonLTStd-Roman"/>
        </w:rPr>
        <w:t>&gt;</w:t>
      </w:r>
      <w:r w:rsidRPr="00D23CB6">
        <w:rPr>
          <w:rFonts w:ascii="SabonLTStd-Roman" w:hAnsi="SabonLTStd-Roman" w:cs="SabonLTStd-Roman"/>
        </w:rPr>
        <w:t xml:space="preserve">strain </w:t>
      </w:r>
      <w:r>
        <w:rPr>
          <w:rFonts w:ascii="SabonLTStd-Roman" w:hAnsi="SabonLTStd-Roman" w:cs="SabonLTStd-Roman"/>
        </w:rPr>
        <w:t>-SARS</w:t>
      </w:r>
      <w:r w:rsidRPr="00D23CB6">
        <w:rPr>
          <w:rFonts w:ascii="SabonLTStd-Roman" w:hAnsi="SabonLTStd-Roman" w:cs="SabonLTStd-Roman"/>
        </w:rPr>
        <w:t>-CoV</w:t>
      </w:r>
      <w:r>
        <w:rPr>
          <w:rFonts w:ascii="SabonLTStd-Roman" w:hAnsi="SabonLTStd-Roman" w:cs="SabonLTStd-Roman"/>
        </w:rPr>
        <w:t>(2003)</w:t>
      </w:r>
      <w:r w:rsidRPr="00D23CB6">
        <w:rPr>
          <w:rFonts w:ascii="SabonLTStd-Roman" w:hAnsi="SabonLTStd-Roman" w:cs="SabonLTStd-Roman"/>
        </w:rPr>
        <w:t>. Xiao</w:t>
      </w:r>
      <w:r>
        <w:rPr>
          <w:rFonts w:ascii="SabonLTStd-Roman" w:hAnsi="SabonLTStd-Roman" w:cs="SabonLTStd-Roman"/>
        </w:rPr>
        <w:t xml:space="preserve"> </w:t>
      </w:r>
      <w:r w:rsidRPr="00D23CB6">
        <w:rPr>
          <w:rFonts w:ascii="SabonLTStd-Roman" w:hAnsi="SabonLTStd-Roman" w:cs="SabonLTStd-Roman"/>
        </w:rPr>
        <w:t xml:space="preserve">et al  showed </w:t>
      </w:r>
      <w:r>
        <w:rPr>
          <w:rFonts w:ascii="SabonLTStd-Roman" w:hAnsi="SabonLTStd-Roman" w:cs="SabonLTStd-Roman"/>
        </w:rPr>
        <w:t xml:space="preserve">on </w:t>
      </w:r>
      <w:r w:rsidRPr="00D23CB6">
        <w:rPr>
          <w:rFonts w:ascii="SabonLTStd-Roman" w:hAnsi="SabonLTStd-Roman" w:cs="SabonLTStd-Roman"/>
        </w:rPr>
        <w:t>endoscopic biopsy samples that ACE2 was rarely expressed in esophageal  epithelium, but abundantly distributed in cilia of glandular epithelia, while staining of viral nucleocapsid protein was visualized in the cytoplasm of gastric, duodenal, and rectum glandular  epithelial cell, but not in esophageal epithelium.as found in another study in the small intest</w:t>
      </w:r>
      <w:r>
        <w:rPr>
          <w:rFonts w:ascii="SabonLTStd-Roman" w:hAnsi="SabonLTStd-Roman" w:cs="SabonLTStd-Roman"/>
        </w:rPr>
        <w:t>ine,</w:t>
      </w:r>
      <w:r w:rsidRPr="00D23CB6">
        <w:rPr>
          <w:rFonts w:ascii="SabonLTStd-Roman" w:hAnsi="SabonLTStd-Roman" w:cs="SabonLTStd-Roman"/>
        </w:rPr>
        <w:t xml:space="preserve">The  </w:t>
      </w:r>
      <w:r>
        <w:rPr>
          <w:rFonts w:ascii="SabonLTStd-Roman" w:hAnsi="SabonLTStd-Roman" w:cs="SabonLTStd-Roman"/>
        </w:rPr>
        <w:t>crosstalk amongSARS-CoV-2 -</w:t>
      </w:r>
      <w:r w:rsidRPr="00D23CB6">
        <w:rPr>
          <w:rFonts w:ascii="SabonLTStd-Roman" w:hAnsi="SabonLTStd-Roman" w:cs="SabonLTStd-Roman"/>
        </w:rPr>
        <w:t xml:space="preserve">ACE2 </w:t>
      </w:r>
      <w:r w:rsidRPr="00D23CB6">
        <w:rPr>
          <w:rFonts w:ascii="SabonLTStd-Roman" w:hAnsi="SabonLTStd-Roman" w:cs="SabonLTStd-Roman"/>
          <w:color w:val="000000"/>
        </w:rPr>
        <w:t>might disrupt  the function of ACE2 and</w:t>
      </w:r>
      <w:r w:rsidR="00A12A6B">
        <w:rPr>
          <w:rFonts w:ascii="SabonLTStd-Roman" w:hAnsi="SabonLTStd-Roman" w:cs="SabonLTStd-Roman"/>
          <w:color w:val="000000"/>
        </w:rPr>
        <w:t xml:space="preserve"> </w:t>
      </w:r>
      <w:r>
        <w:rPr>
          <w:rFonts w:ascii="SabonLTStd-Roman" w:hAnsi="SabonLTStd-Roman" w:cs="SabonLTStd-Roman"/>
          <w:color w:val="000000"/>
        </w:rPr>
        <w:t>cause</w:t>
      </w:r>
      <w:r w:rsidRPr="00D23CB6">
        <w:rPr>
          <w:rFonts w:ascii="SabonLTStd-Roman" w:hAnsi="SabonLTStd-Roman" w:cs="SabonLTStd-Roman"/>
          <w:color w:val="000000"/>
        </w:rPr>
        <w:t xml:space="preserve"> diarrhea.</w:t>
      </w:r>
      <w:r>
        <w:rPr>
          <w:rFonts w:ascii="SabonLTStd-Roman" w:hAnsi="SabonLTStd-Roman" w:cs="SabonLTStd-Roman"/>
          <w:color w:val="000000"/>
        </w:rPr>
        <w:t xml:space="preserve">Chances </w:t>
      </w:r>
      <w:r w:rsidRPr="00D23CB6">
        <w:rPr>
          <w:rFonts w:ascii="SabonLTStd-Roman" w:hAnsi="SabonLTStd-Roman" w:cs="SabonLTStd-Roman"/>
          <w:color w:val="000000"/>
        </w:rPr>
        <w:t>of fecal–oral transmission of SARS-CoV-2</w:t>
      </w:r>
      <w:r w:rsidRPr="00D23CB6">
        <w:rPr>
          <w:rFonts w:ascii="SabonLTStd-Roman" w:hAnsi="SabonLTStd-Roman" w:cs="SabonLTStd-Roman"/>
        </w:rPr>
        <w:t xml:space="preserve">  </w:t>
      </w:r>
      <w:r>
        <w:rPr>
          <w:rFonts w:ascii="SabonLTStd-Roman" w:hAnsi="SabonLTStd-Roman" w:cs="SabonLTStd-Roman"/>
          <w:color w:val="000000"/>
        </w:rPr>
        <w:t xml:space="preserve">stressed on </w:t>
      </w:r>
      <w:r w:rsidRPr="00D23CB6">
        <w:rPr>
          <w:rFonts w:ascii="SabonLTStd-Roman" w:hAnsi="SabonLTStd-Roman" w:cs="SabonLTStd-Roman"/>
          <w:color w:val="000000"/>
        </w:rPr>
        <w:t xml:space="preserve"> proper hand hygiene</w:t>
      </w:r>
      <w:r>
        <w:rPr>
          <w:rFonts w:ascii="SabonLTStd-Roman" w:hAnsi="SabonLTStd-Roman" w:cs="SabonLTStd-Roman"/>
          <w:color w:val="000000"/>
        </w:rPr>
        <w:t xml:space="preserve"> ,</w:t>
      </w:r>
      <w:r w:rsidRPr="00D23CB6">
        <w:rPr>
          <w:rFonts w:ascii="SabonLTStd-Roman" w:hAnsi="SabonLTStd-Roman" w:cs="SabonLTStd-Roman"/>
          <w:color w:val="000000"/>
        </w:rPr>
        <w:t xml:space="preserve">stools handling and hospital sewage  </w:t>
      </w:r>
      <w:r>
        <w:rPr>
          <w:rFonts w:ascii="SabonLTStd-Roman" w:hAnsi="SabonLTStd-Roman" w:cs="SabonLTStd-Roman"/>
          <w:color w:val="000000"/>
        </w:rPr>
        <w:t>carefully in pts</w:t>
      </w:r>
      <w:r w:rsidRPr="00D23CB6">
        <w:rPr>
          <w:rFonts w:ascii="SabonLTStd-Roman" w:hAnsi="SabonLTStd-Roman" w:cs="SabonLTStd-Roman"/>
          <w:color w:val="000000"/>
        </w:rPr>
        <w:t>. SARS-CoV-2 in the GIT</w:t>
      </w:r>
      <w:r>
        <w:rPr>
          <w:rFonts w:ascii="SabonLTStd-Roman" w:hAnsi="SabonLTStd-Roman" w:cs="SabonLTStd-Roman"/>
          <w:color w:val="000000"/>
        </w:rPr>
        <w:t xml:space="preserve">,signifies </w:t>
      </w:r>
      <w:r w:rsidRPr="00D23CB6">
        <w:rPr>
          <w:rFonts w:ascii="SabonLTStd-Roman" w:hAnsi="SabonLTStd-Roman" w:cs="SabonLTStd-Roman"/>
          <w:color w:val="000000"/>
        </w:rPr>
        <w:t xml:space="preserve"> CD-19 infection</w:t>
      </w:r>
      <w:r w:rsidRPr="00D23CB6">
        <w:rPr>
          <w:rFonts w:ascii="SabonLTStd-Roman" w:hAnsi="SabonLTStd-Roman" w:cs="SabonLTStd-Roman"/>
        </w:rPr>
        <w:t xml:space="preserve">   </w:t>
      </w:r>
      <w:r w:rsidRPr="00D23CB6">
        <w:rPr>
          <w:rFonts w:ascii="SabonLTStd-Roman" w:hAnsi="SabonLTStd-Roman" w:cs="SabonLTStd-Roman"/>
          <w:color w:val="000000"/>
        </w:rPr>
        <w:t>in patients with preexisting digestive diseases a</w:t>
      </w:r>
      <w:r>
        <w:rPr>
          <w:rFonts w:ascii="SabonLTStd-Roman" w:hAnsi="SabonLTStd-Roman" w:cs="SabonLTStd-Roman"/>
          <w:color w:val="000000"/>
        </w:rPr>
        <w:t xml:space="preserve">nd </w:t>
      </w:r>
      <w:r w:rsidRPr="00D23CB6">
        <w:rPr>
          <w:rFonts w:ascii="SabonLTStd-Roman" w:hAnsi="SabonLTStd-Roman" w:cs="SabonLTStd-Roman"/>
          <w:color w:val="000000"/>
        </w:rPr>
        <w:t xml:space="preserve">fecal  microbiota transplant donors. To prevent  SARS-CoV-2 transmission by fecal microbiota transplantation,  </w:t>
      </w:r>
      <w:r>
        <w:rPr>
          <w:rFonts w:ascii="SabonLTStd-Roman" w:hAnsi="SabonLTStd-Roman" w:cs="SabonLTStd-Roman"/>
          <w:color w:val="000000"/>
        </w:rPr>
        <w:t xml:space="preserve">more testing  needed </w:t>
      </w:r>
      <w:r w:rsidRPr="00D23CB6">
        <w:rPr>
          <w:rFonts w:ascii="SabonLTStd-Roman" w:hAnsi="SabonLTStd-Roman" w:cs="SabonLTStd-Roman"/>
          <w:color w:val="000000"/>
        </w:rPr>
        <w:t xml:space="preserve">over  </w:t>
      </w:r>
      <w:r>
        <w:rPr>
          <w:rFonts w:ascii="SabonLTStd-Roman" w:hAnsi="SabonLTStd-Roman" w:cs="SabonLTStd-Roman"/>
          <w:color w:val="000000"/>
        </w:rPr>
        <w:t>current ones</w:t>
      </w:r>
      <w:r w:rsidRPr="00D23CB6">
        <w:rPr>
          <w:rFonts w:ascii="SabonLTStd-Roman" w:hAnsi="SabonLTStd-Roman" w:cs="SabonLTStd-Roman"/>
          <w:color w:val="000000"/>
        </w:rPr>
        <w:t>.GIT</w:t>
      </w:r>
      <w:r>
        <w:rPr>
          <w:rFonts w:ascii="SabonLTStd-Roman" w:hAnsi="SabonLTStd-Roman" w:cs="SabonLTStd-Roman"/>
          <w:color w:val="000000"/>
        </w:rPr>
        <w:t xml:space="preserve"> </w:t>
      </w:r>
      <w:r w:rsidRPr="00D23CB6">
        <w:rPr>
          <w:rFonts w:ascii="SabonLTStd-Roman" w:hAnsi="SabonLTStd-Roman" w:cs="SabonLTStd-Roman"/>
          <w:color w:val="000000"/>
        </w:rPr>
        <w:t xml:space="preserve">endoscopy departments face </w:t>
      </w:r>
      <w:r>
        <w:rPr>
          <w:rFonts w:ascii="SabonLTStd-Roman" w:hAnsi="SabonLTStd-Roman" w:cs="SabonLTStd-Roman"/>
          <w:color w:val="000000"/>
        </w:rPr>
        <w:t xml:space="preserve"> marked  </w:t>
      </w:r>
      <w:r w:rsidRPr="00D23CB6">
        <w:rPr>
          <w:rFonts w:ascii="SabonLTStd-Roman" w:hAnsi="SabonLTStd-Roman" w:cs="SabonLTStd-Roman"/>
          <w:color w:val="000000"/>
        </w:rPr>
        <w:t>transmissions</w:t>
      </w:r>
      <w:r>
        <w:rPr>
          <w:rFonts w:ascii="SabonLTStd-Roman" w:hAnsi="SabonLTStd-Roman" w:cs="SabonLTStd-Roman"/>
          <w:color w:val="000000"/>
        </w:rPr>
        <w:t xml:space="preserve"> risk</w:t>
      </w:r>
      <w:r w:rsidRPr="00D23CB6">
        <w:rPr>
          <w:rFonts w:ascii="SabonLTStd-Roman" w:hAnsi="SabonLTStd-Roman" w:cs="SabonLTStd-Roman"/>
          <w:color w:val="000000"/>
        </w:rPr>
        <w:t xml:space="preserve"> of </w:t>
      </w:r>
      <w:r>
        <w:rPr>
          <w:rFonts w:ascii="SabonLTStd-Roman" w:hAnsi="SabonLTStd-Roman" w:cs="SabonLTStd-Roman"/>
          <w:color w:val="000000"/>
        </w:rPr>
        <w:t>virus during endoscopy</w:t>
      </w:r>
      <w:r w:rsidRPr="00D23CB6">
        <w:rPr>
          <w:rFonts w:ascii="SabonLTStd-Roman" w:hAnsi="SabonLTStd-Roman" w:cs="SabonLTStd-Roman"/>
          <w:color w:val="000000"/>
        </w:rPr>
        <w:t xml:space="preserve"> </w:t>
      </w:r>
      <w:r>
        <w:rPr>
          <w:rFonts w:ascii="SabonLTStd-Roman" w:hAnsi="SabonLTStd-Roman" w:cs="SabonLTStd-Roman"/>
          <w:color w:val="000000"/>
        </w:rPr>
        <w:t>.E</w:t>
      </w:r>
      <w:r w:rsidRPr="00D23CB6">
        <w:rPr>
          <w:rFonts w:ascii="SabonLTStd-Roman" w:hAnsi="SabonLTStd-Roman" w:cs="SabonLTStd-Roman"/>
          <w:color w:val="000000"/>
        </w:rPr>
        <w:t>arliest report</w:t>
      </w:r>
      <w:r>
        <w:rPr>
          <w:rFonts w:ascii="SabonLTStd-Roman" w:hAnsi="SabonLTStd-Roman" w:cs="SabonLTStd-Roman"/>
          <w:color w:val="000000"/>
        </w:rPr>
        <w:t>s of C</w:t>
      </w:r>
      <w:r w:rsidRPr="00D23CB6">
        <w:rPr>
          <w:rFonts w:ascii="SabonLTStd-Roman" w:hAnsi="SabonLTStd-Roman" w:cs="SabonLTStd-Roman"/>
          <w:color w:val="000000"/>
        </w:rPr>
        <w:t xml:space="preserve">D-19 </w:t>
      </w:r>
      <w:r>
        <w:rPr>
          <w:rFonts w:ascii="SabonLTStd-Roman" w:hAnsi="SabonLTStd-Roman" w:cs="SabonLTStd-Roman"/>
          <w:color w:val="000000"/>
        </w:rPr>
        <w:t>,</w:t>
      </w:r>
      <w:r w:rsidRPr="00D23CB6">
        <w:rPr>
          <w:rFonts w:ascii="SabonLTStd-Roman" w:hAnsi="SabonLTStd-Roman" w:cs="SabonLTStd-Roman"/>
        </w:rPr>
        <w:t xml:space="preserve"> </w:t>
      </w:r>
      <w:r w:rsidRPr="00D23CB6">
        <w:rPr>
          <w:rFonts w:ascii="SabonLTStd-Roman" w:hAnsi="SabonLTStd-Roman" w:cs="SabonLTStd-Roman"/>
          <w:color w:val="000000"/>
        </w:rPr>
        <w:t>40/</w:t>
      </w:r>
      <w:r>
        <w:rPr>
          <w:rFonts w:ascii="SabonLTStd-Roman" w:hAnsi="SabonLTStd-Roman" w:cs="SabonLTStd-Roman"/>
          <w:color w:val="000000"/>
        </w:rPr>
        <w:t>138  showed high risk of infection  for healthcare workers  of infection.</w:t>
      </w:r>
      <w:r w:rsidRPr="00D23CB6">
        <w:rPr>
          <w:rFonts w:ascii="SabonLTStd-Roman" w:hAnsi="SabonLTStd-Roman" w:cs="SabonLTStd-Roman"/>
          <w:color w:val="000000"/>
        </w:rPr>
        <w:t xml:space="preserve">Possible routes of </w:t>
      </w:r>
      <w:r>
        <w:rPr>
          <w:rFonts w:ascii="SabonLTStd-Roman" w:hAnsi="SabonLTStd-Roman" w:cs="SabonLTStd-Roman"/>
          <w:color w:val="000000"/>
        </w:rPr>
        <w:t xml:space="preserve"> viral </w:t>
      </w:r>
      <w:r w:rsidRPr="00D23CB6">
        <w:rPr>
          <w:rFonts w:ascii="SabonLTStd-Roman" w:hAnsi="SabonLTStd-Roman" w:cs="SabonLTStd-Roman"/>
          <w:color w:val="000000"/>
        </w:rPr>
        <w:t xml:space="preserve">transmission </w:t>
      </w:r>
      <w:r>
        <w:rPr>
          <w:rFonts w:ascii="SabonLTStd-Roman" w:hAnsi="SabonLTStd-Roman" w:cs="SabonLTStd-Roman"/>
          <w:color w:val="000000"/>
        </w:rPr>
        <w:t>on</w:t>
      </w:r>
      <w:r w:rsidRPr="00D23CB6">
        <w:rPr>
          <w:rFonts w:ascii="SabonLTStd-Roman" w:hAnsi="SabonLTStd-Roman" w:cs="SabonLTStd-Roman"/>
          <w:color w:val="000000"/>
        </w:rPr>
        <w:t xml:space="preserve">endoscopy examination </w:t>
      </w:r>
      <w:r>
        <w:rPr>
          <w:rFonts w:ascii="SabonLTStd-Roman" w:hAnsi="SabonLTStd-Roman" w:cs="SabonLTStd-Roman"/>
          <w:color w:val="000000"/>
        </w:rPr>
        <w:t>-</w:t>
      </w:r>
      <w:r w:rsidRPr="00D23CB6">
        <w:rPr>
          <w:rFonts w:ascii="SabonLTStd-Roman" w:hAnsi="SabonLTStd-Roman" w:cs="SabonLTStd-Roman"/>
          <w:color w:val="000000"/>
        </w:rPr>
        <w:t xml:space="preserve"> person-to-person, respiratory</w:t>
      </w:r>
      <w:r w:rsidRPr="00D23CB6">
        <w:rPr>
          <w:rFonts w:ascii="SabonLTStd-Roman" w:hAnsi="SabonLTStd-Roman" w:cs="SabonLTStd-Roman"/>
        </w:rPr>
        <w:t xml:space="preserve"> </w:t>
      </w:r>
      <w:r w:rsidRPr="00D23CB6">
        <w:rPr>
          <w:rFonts w:ascii="SabonLTStd-Roman" w:hAnsi="SabonLTStd-Roman" w:cs="SabonLTStd-Roman"/>
          <w:color w:val="000000"/>
        </w:rPr>
        <w:t xml:space="preserve">droplets, aerosols </w:t>
      </w:r>
      <w:r>
        <w:rPr>
          <w:rFonts w:ascii="SabonLTStd-Roman" w:hAnsi="SabonLTStd-Roman" w:cs="SabonLTStd-Roman"/>
          <w:color w:val="000000"/>
        </w:rPr>
        <w:t>formed on</w:t>
      </w:r>
      <w:r w:rsidRPr="00D23CB6">
        <w:rPr>
          <w:rFonts w:ascii="SabonLTStd-Roman" w:hAnsi="SabonLTStd-Roman" w:cs="SabonLTStd-Roman"/>
          <w:color w:val="000000"/>
        </w:rPr>
        <w:t xml:space="preserve">endoscopy, and contact with  contaminated </w:t>
      </w:r>
      <w:r w:rsidRPr="00D23CB6">
        <w:rPr>
          <w:rFonts w:ascii="SabonLTStd-Roman" w:hAnsi="SabonLTStd-Roman" w:cs="SabonLTStd-Roman"/>
          <w:color w:val="000000"/>
        </w:rPr>
        <w:lastRenderedPageBreak/>
        <w:t>surroundings, body fluids, and fecal material.</w:t>
      </w:r>
      <w:r>
        <w:rPr>
          <w:rFonts w:ascii="SabonLTStd-Roman" w:hAnsi="SabonLTStd-Roman" w:cs="SabonLTStd-Roman"/>
          <w:color w:val="000000"/>
        </w:rPr>
        <w:t>Recommendation used-</w:t>
      </w:r>
      <w:r w:rsidRPr="00D23CB6">
        <w:rPr>
          <w:rFonts w:ascii="SabonLTStd-Roman" w:hAnsi="SabonLTStd-Roman" w:cs="SabonLTStd-Roman"/>
          <w:color w:val="000000"/>
        </w:rPr>
        <w:t xml:space="preserve">World Endoscopy Organization, ASGE,ESGE  </w:t>
      </w:r>
      <w:r>
        <w:rPr>
          <w:rFonts w:ascii="SabonLTStd-Roman" w:hAnsi="SabonLTStd-Roman" w:cs="SabonLTStd-Roman"/>
          <w:color w:val="000000"/>
        </w:rPr>
        <w:t xml:space="preserve">on </w:t>
      </w:r>
      <w:r w:rsidRPr="00D23CB6">
        <w:rPr>
          <w:rFonts w:ascii="SabonLTStd-Roman" w:hAnsi="SabonLTStd-Roman" w:cs="SabonLTStd-Roman"/>
          <w:color w:val="000000"/>
        </w:rPr>
        <w:t xml:space="preserve"> endoscopy</w:t>
      </w:r>
      <w:r>
        <w:rPr>
          <w:rFonts w:ascii="SabonLTStd-Roman" w:hAnsi="SabonLTStd-Roman" w:cs="SabonLTStd-Roman"/>
          <w:color w:val="000000"/>
        </w:rPr>
        <w:t xml:space="preserve"> </w:t>
      </w:r>
      <w:r w:rsidRPr="00D23CB6">
        <w:rPr>
          <w:rFonts w:ascii="SabonLTStd-Roman" w:hAnsi="SabonLTStd-Roman" w:cs="SabonLTStd-Roman"/>
          <w:color w:val="000000"/>
        </w:rPr>
        <w:t xml:space="preserve"> </w:t>
      </w:r>
      <w:r>
        <w:rPr>
          <w:rFonts w:ascii="SabonLTStd-Roman" w:hAnsi="SabonLTStd-Roman" w:cs="SabonLTStd-Roman"/>
          <w:color w:val="000000"/>
        </w:rPr>
        <w:t xml:space="preserve"> during the </w:t>
      </w:r>
      <w:r w:rsidRPr="00D23CB6">
        <w:rPr>
          <w:rFonts w:ascii="SabonLTStd-Roman" w:hAnsi="SabonLTStd-Roman" w:cs="SabonLTStd-Roman"/>
          <w:color w:val="000000"/>
        </w:rPr>
        <w:t>pandemic.</w:t>
      </w:r>
      <w:r w:rsidRPr="00D23CB6">
        <w:rPr>
          <w:rFonts w:ascii="SabonLTStd-Roman" w:hAnsi="SabonLTStd-Roman" w:cs="SabonLTStd-Roman"/>
          <w:b/>
          <w:color w:val="000000"/>
        </w:rPr>
        <w:t>Liver</w:t>
      </w:r>
      <w:r w:rsidRPr="00D23CB6">
        <w:rPr>
          <w:rFonts w:ascii="SabonLTStd-Roman" w:hAnsi="SabonLTStd-Roman" w:cs="SabonLTStd-Roman"/>
          <w:color w:val="000000"/>
        </w:rPr>
        <w:t xml:space="preserve">  damage was common in the patients infected by the other</w:t>
      </w:r>
      <w:r w:rsidRPr="00D23CB6">
        <w:rPr>
          <w:rFonts w:ascii="HelveticaNeueLTStd-Hv" w:hAnsi="HelveticaNeueLTStd-Hv" w:cs="HelveticaNeueLTStd-Hv"/>
          <w:color w:val="0000FF"/>
        </w:rPr>
        <w:t xml:space="preserve"> </w:t>
      </w:r>
      <w:r w:rsidRPr="00D23CB6">
        <w:rPr>
          <w:rFonts w:ascii="SabonLTStd-Roman" w:hAnsi="SabonLTStd-Roman" w:cs="SabonLTStd-Roman"/>
          <w:color w:val="000000"/>
        </w:rPr>
        <w:t>2</w:t>
      </w:r>
      <w:r>
        <w:rPr>
          <w:rFonts w:ascii="SabonLTStd-Roman" w:hAnsi="SabonLTStd-Roman" w:cs="SabonLTStd-Roman"/>
          <w:color w:val="000000"/>
        </w:rPr>
        <w:t xml:space="preserve"> highly pathogenic coronavirus-</w:t>
      </w:r>
      <w:r w:rsidRPr="00D23CB6">
        <w:rPr>
          <w:rFonts w:ascii="SabonLTStd-Roman" w:hAnsi="SabonLTStd-Roman" w:cs="SabonLTStd-Roman"/>
          <w:color w:val="000000"/>
        </w:rPr>
        <w:t>SARS-CoV</w:t>
      </w:r>
      <w:r>
        <w:rPr>
          <w:rFonts w:ascii="SabonLTStd-Roman" w:hAnsi="SabonLTStd-Roman" w:cs="SabonLTStd-Roman"/>
          <w:color w:val="000000"/>
        </w:rPr>
        <w:t>,</w:t>
      </w:r>
      <w:r w:rsidRPr="00D23CB6">
        <w:rPr>
          <w:rFonts w:ascii="SabonLTStd-Roman" w:hAnsi="SabonLTStd-Roman" w:cs="SabonLTStd-Roman"/>
          <w:color w:val="000000"/>
        </w:rPr>
        <w:t xml:space="preserve"> MERS CoV associated with</w:t>
      </w:r>
      <w:r w:rsidRPr="00D23CB6">
        <w:rPr>
          <w:rFonts w:ascii="HelveticaNeueLTStd-Hv" w:hAnsi="HelveticaNeueLTStd-Hv" w:cs="HelveticaNeueLTStd-Hv"/>
          <w:color w:val="0000FF"/>
        </w:rPr>
        <w:t xml:space="preserve">    </w:t>
      </w:r>
      <w:r w:rsidRPr="00D23CB6">
        <w:rPr>
          <w:rFonts w:ascii="SabonLTStd-Roman" w:hAnsi="SabonLTStd-Roman" w:cs="SabonLTStd-Roman"/>
          <w:color w:val="000000"/>
        </w:rPr>
        <w:t>the severity of diseases. In patients with CD-19, several  studies have documented the incidence of liver injury , indicating  that 2- 11% of patients with CD-19 had liver  comorbidities and 16 -53% cases reported abnormal levels</w:t>
      </w:r>
      <w:r>
        <w:rPr>
          <w:rFonts w:ascii="SabonLTStd-Roman" w:hAnsi="SabonLTStd-Roman" w:cs="SabonLTStd-Roman"/>
          <w:color w:val="000000"/>
        </w:rPr>
        <w:t xml:space="preserve">  </w:t>
      </w:r>
      <w:r w:rsidRPr="00D23CB6">
        <w:rPr>
          <w:rFonts w:ascii="SabonLTStd-Roman" w:hAnsi="SabonLTStd-Roman" w:cs="SabonLTStd-Roman"/>
          <w:color w:val="000000"/>
        </w:rPr>
        <w:t>of SGOT /PT.Guan et al and Huang  showed that elevated AST levels  were observed  more in pts with severe disease,</w:t>
      </w:r>
      <w:r>
        <w:rPr>
          <w:rFonts w:ascii="SabonLTStd-Roman" w:hAnsi="SabonLTStd-Roman" w:cs="SabonLTStd-Roman"/>
          <w:color w:val="000000"/>
        </w:rPr>
        <w:t>.</w:t>
      </w:r>
      <w:r w:rsidRPr="00D23CB6">
        <w:rPr>
          <w:rFonts w:ascii="SabonLTStd-Roman" w:hAnsi="SabonLTStd-Roman" w:cs="SabonLTStd-Roman"/>
          <w:color w:val="000000"/>
        </w:rPr>
        <w:t xml:space="preserve"> Liver injury might be due to</w:t>
      </w:r>
      <w:r>
        <w:rPr>
          <w:rFonts w:ascii="SabonLTStd-Roman" w:hAnsi="SabonLTStd-Roman" w:cs="SabonLTStd-Roman"/>
          <w:color w:val="000000"/>
        </w:rPr>
        <w:t xml:space="preserve"> </w:t>
      </w:r>
      <w:r w:rsidRPr="00D23CB6">
        <w:rPr>
          <w:rFonts w:ascii="SabonLTStd-Roman" w:hAnsi="SabonLTStd-Roman" w:cs="SabonLTStd-Roman"/>
          <w:color w:val="000000"/>
        </w:rPr>
        <w:t>viral infection in liver cells or due to other causes such as drug induced  liver injury and systemic inflammation induced  by</w:t>
      </w:r>
      <w:r>
        <w:rPr>
          <w:rFonts w:ascii="SabonLTStd-Roman" w:hAnsi="SabonLTStd-Roman" w:cs="SabonLTStd-Roman"/>
          <w:color w:val="000000"/>
        </w:rPr>
        <w:t xml:space="preserve"> CKS</w:t>
      </w:r>
      <w:r w:rsidRPr="00D23CB6">
        <w:rPr>
          <w:rFonts w:ascii="SabonLTStd-Roman" w:hAnsi="SabonLTStd-Roman" w:cs="SabonLTStd-Roman"/>
          <w:color w:val="000000"/>
        </w:rPr>
        <w:t>or pneumonia-</w:t>
      </w:r>
      <w:r>
        <w:rPr>
          <w:rFonts w:ascii="SabonLTStd-Roman" w:hAnsi="SabonLTStd-Roman" w:cs="SabonLTStd-Roman"/>
          <w:color w:val="000000"/>
        </w:rPr>
        <w:t>related</w:t>
      </w:r>
      <w:r w:rsidRPr="00D23CB6">
        <w:rPr>
          <w:rFonts w:ascii="SabonLTStd-Roman" w:hAnsi="SabonLTStd-Roman" w:cs="SabonLTStd-Roman"/>
          <w:color w:val="000000"/>
        </w:rPr>
        <w:t xml:space="preserve"> hypoxia. SARS virus  has been shown to be present in the liver tissue, although the  viral titer was relatively low because vira</w:t>
      </w:r>
      <w:r>
        <w:rPr>
          <w:rFonts w:ascii="SabonLTStd-Roman" w:hAnsi="SabonLTStd-Roman" w:cs="SabonLTStd-Roman"/>
          <w:color w:val="000000"/>
        </w:rPr>
        <w:t>l inclusions were not observed.</w:t>
      </w:r>
      <w:r w:rsidRPr="00D23CB6">
        <w:rPr>
          <w:rFonts w:ascii="SabonLTStd-Roman" w:hAnsi="SabonLTStd-Roman" w:cs="SabonLTStd-Roman"/>
          <w:color w:val="000000"/>
        </w:rPr>
        <w:t xml:space="preserve">The impact of COVID-19 in patients with preexisting chronic liver diseases, </w:t>
      </w:r>
      <w:r>
        <w:rPr>
          <w:rFonts w:ascii="SabonLTStd-Roman" w:hAnsi="SabonLTStd-Roman" w:cs="SabonLTStd-Roman"/>
          <w:color w:val="000000"/>
        </w:rPr>
        <w:t>needs evaluation</w:t>
      </w:r>
      <w:r w:rsidRPr="00D23CB6">
        <w:rPr>
          <w:rFonts w:ascii="SabonLTStd-Roman" w:hAnsi="SabonLTStd-Roman" w:cs="SabonLTStd-Roman"/>
          <w:color w:val="000000"/>
        </w:rPr>
        <w:t>.</w:t>
      </w:r>
      <w:r>
        <w:rPr>
          <w:rFonts w:ascii="SabonLTStd-Roman" w:hAnsi="SabonLTStd-Roman" w:cs="SabonLTStd-Roman"/>
          <w:color w:val="000000"/>
        </w:rPr>
        <w:t xml:space="preserve">from Chinese study </w:t>
      </w:r>
      <w:r w:rsidRPr="00D23CB6">
        <w:rPr>
          <w:rFonts w:ascii="SabonLTStd-Roman" w:hAnsi="SabonLTStd-Roman" w:cs="SabonLTStd-Roman"/>
          <w:color w:val="000000"/>
        </w:rPr>
        <w:t xml:space="preserve"> showed that chronic hepatitis B infection </w:t>
      </w:r>
      <w:r>
        <w:rPr>
          <w:rFonts w:ascii="SabonLTStd-Roman" w:hAnsi="SabonLTStd-Roman" w:cs="SabonLTStd-Roman"/>
          <w:color w:val="000000"/>
        </w:rPr>
        <w:t xml:space="preserve"> pts</w:t>
      </w:r>
      <w:r w:rsidR="00A12A6B">
        <w:rPr>
          <w:rFonts w:ascii="SabonLTStd-Roman" w:hAnsi="SabonLTStd-Roman" w:cs="SabonLTStd-Roman"/>
          <w:color w:val="000000"/>
        </w:rPr>
        <w:t xml:space="preserve"> </w:t>
      </w:r>
      <w:r>
        <w:rPr>
          <w:rFonts w:ascii="SabonLTStd-Roman" w:hAnsi="SabonLTStd-Roman" w:cs="SabonLTStd-Roman"/>
          <w:color w:val="000000"/>
        </w:rPr>
        <w:t>didn’t  have higher disease severity vs population as did world cases.</w:t>
      </w:r>
      <w:r w:rsidRPr="00D23CB6">
        <w:rPr>
          <w:rFonts w:ascii="SabonLTStd-Roman" w:hAnsi="SabonLTStd-Roman" w:cs="SabonLTStd-Roman"/>
          <w:color w:val="000000"/>
        </w:rPr>
        <w:t xml:space="preserve"> </w:t>
      </w:r>
      <w:r>
        <w:rPr>
          <w:rFonts w:ascii="AdvTT0eeac7f7.B" w:hAnsi="AdvTT0eeac7f7.B" w:cs="AdvTT0eeac7f7.B"/>
        </w:rPr>
        <w:t xml:space="preserve">Major </w:t>
      </w:r>
      <w:r w:rsidRPr="00D23CB6">
        <w:rPr>
          <w:rFonts w:ascii="AdvTT0eeac7f7.B" w:hAnsi="AdvTT0eeac7f7.B" w:cs="AdvTT0eeac7f7.B"/>
        </w:rPr>
        <w:t>changes to the</w:t>
      </w:r>
      <w:r w:rsidRPr="00D23CB6">
        <w:rPr>
          <w:rFonts w:ascii="AdvTT08640291" w:hAnsi="AdvTT08640291" w:cs="AdvTT08640291"/>
          <w:color w:val="000000"/>
        </w:rPr>
        <w:t xml:space="preserve">  </w:t>
      </w:r>
      <w:r w:rsidRPr="00D23CB6">
        <w:rPr>
          <w:rFonts w:ascii="AdvTT0eeac7f7.B" w:hAnsi="AdvTT0eeac7f7.B" w:cs="AdvTT0eeac7f7.B"/>
        </w:rPr>
        <w:t>standard management of</w:t>
      </w:r>
      <w:r w:rsidR="00A12A6B">
        <w:rPr>
          <w:rFonts w:ascii="AdvTT0eeac7f7.B" w:hAnsi="AdvTT0eeac7f7.B" w:cs="AdvTT0eeac7f7.B"/>
        </w:rPr>
        <w:t xml:space="preserve"> </w:t>
      </w:r>
      <w:r w:rsidRPr="00D23CB6">
        <w:rPr>
          <w:rFonts w:ascii="AdvTT0eeac7f7.B" w:hAnsi="AdvTT0eeac7f7.B" w:cs="AdvTT0eeac7f7.B"/>
        </w:rPr>
        <w:t>GIT</w:t>
      </w:r>
      <w:r>
        <w:rPr>
          <w:rFonts w:ascii="AdvTT0eeac7f7.B" w:hAnsi="AdvTT0eeac7f7.B" w:cs="AdvTT0eeac7f7.B"/>
        </w:rPr>
        <w:t xml:space="preserve"> diseases, p</w:t>
      </w:r>
      <w:r w:rsidRPr="00D23CB6">
        <w:rPr>
          <w:rFonts w:ascii="AdvTT0eeac7f7.B" w:hAnsi="AdvTT0eeac7f7.B" w:cs="AdvTT0eeac7f7.B"/>
        </w:rPr>
        <w:t>riorities  like minimizing viral transmission, preserving</w:t>
      </w:r>
      <w:r w:rsidRPr="00D23CB6">
        <w:rPr>
          <w:rFonts w:ascii="AdvTT08640291" w:hAnsi="AdvTT08640291" w:cs="AdvTT08640291"/>
          <w:color w:val="000000"/>
        </w:rPr>
        <w:t xml:space="preserve">  </w:t>
      </w:r>
      <w:r w:rsidRPr="00D23CB6">
        <w:rPr>
          <w:rFonts w:ascii="AdvTT0eeac7f7.B" w:hAnsi="AdvTT0eeac7f7.B" w:cs="AdvTT0eeac7f7.B"/>
        </w:rPr>
        <w:t>PPE, and freeing hospital beds  have driven unconventional approaches to managing</w:t>
      </w:r>
      <w:r w:rsidRPr="00D23CB6">
        <w:rPr>
          <w:rFonts w:ascii="AdvTT08640291" w:hAnsi="AdvTT08640291" w:cs="AdvTT08640291"/>
          <w:color w:val="000000"/>
        </w:rPr>
        <w:t xml:space="preserve"> </w:t>
      </w:r>
      <w:r w:rsidRPr="00D23CB6">
        <w:rPr>
          <w:rFonts w:ascii="AdvTT0eeac7f7.B" w:hAnsi="AdvTT0eeac7f7.B" w:cs="AdvTT0eeac7f7.B"/>
        </w:rPr>
        <w:t>GI patients. Conversion of endoscopy units to CD units and redeployment of GI fellows and</w:t>
      </w:r>
      <w:r w:rsidRPr="00D23CB6">
        <w:rPr>
          <w:rFonts w:ascii="AdvTT08640291" w:hAnsi="AdvTT08640291" w:cs="AdvTT08640291"/>
          <w:color w:val="000000"/>
        </w:rPr>
        <w:t xml:space="preserve">  </w:t>
      </w:r>
      <w:r w:rsidRPr="00D23CB6">
        <w:rPr>
          <w:rFonts w:ascii="AdvTT0eeac7f7.B" w:hAnsi="AdvTT0eeac7f7.B" w:cs="AdvTT0eeac7f7.B"/>
        </w:rPr>
        <w:t>faculty has profoundly changed most GI services.Meanwhile, consult and procedural volumes have  reduced drastically..</w:t>
      </w:r>
      <w:r>
        <w:rPr>
          <w:rFonts w:ascii="AdvTT0eeac7f7.B" w:hAnsi="AdvTT0eeac7f7.B" w:cs="AdvTT0eeac7f7.B"/>
        </w:rPr>
        <w:t>Sethi et al.,</w:t>
      </w:r>
      <w:r w:rsidRPr="00D23CB6">
        <w:rPr>
          <w:rFonts w:ascii="AdvTT0eeac7f7.B" w:hAnsi="AdvTT0eeac7f7.B" w:cs="AdvTT0eeac7f7.B"/>
        </w:rPr>
        <w:t xml:space="preserve"> showed how  </w:t>
      </w:r>
      <w:r>
        <w:rPr>
          <w:rFonts w:ascii="AdvTT0eeac7f7.B" w:hAnsi="AdvTT0eeac7f7.B" w:cs="AdvTT0eeac7f7.B"/>
        </w:rPr>
        <w:t xml:space="preserve">dealing </w:t>
      </w:r>
      <w:r w:rsidRPr="00D23CB6">
        <w:rPr>
          <w:rFonts w:ascii="AdvTT0eeac7f7.B" w:hAnsi="AdvTT0eeac7f7.B" w:cs="AdvTT0eeac7f7.B"/>
        </w:rPr>
        <w:t>speci</w:t>
      </w:r>
      <w:r w:rsidRPr="00D23CB6">
        <w:rPr>
          <w:rFonts w:ascii="AdvTT0eeac7f7.B+fb" w:hAnsi="AdvTT0eeac7f7.B+fb" w:cs="AdvTT0eeac7f7.B+fb"/>
        </w:rPr>
        <w:t>fi</w:t>
      </w:r>
      <w:r w:rsidRPr="00D23CB6">
        <w:rPr>
          <w:rFonts w:ascii="AdvTT0eeac7f7.B" w:hAnsi="AdvTT0eeac7f7.B" w:cs="AdvTT0eeac7f7.B"/>
        </w:rPr>
        <w:t>c consults  and conditions has</w:t>
      </w:r>
      <w:r>
        <w:rPr>
          <w:rFonts w:ascii="AdvTT0eeac7f7.B" w:hAnsi="AdvTT0eeac7f7.B" w:cs="AdvTT0eeac7f7.B"/>
        </w:rPr>
        <w:t>changed</w:t>
      </w:r>
      <w:r w:rsidRPr="00D23CB6">
        <w:rPr>
          <w:rFonts w:ascii="AdvTT0eeac7f7.B" w:hAnsi="AdvTT0eeac7f7.B" w:cs="AdvTT0eeac7f7.B"/>
        </w:rPr>
        <w:t xml:space="preserve">, the </w:t>
      </w:r>
      <w:r>
        <w:rPr>
          <w:rFonts w:ascii="AdvTT0eeac7f7.B" w:hAnsi="AdvTT0eeac7f7.B" w:cs="AdvTT0eeac7f7.B"/>
        </w:rPr>
        <w:t>main</w:t>
      </w:r>
      <w:r w:rsidRPr="00D23CB6">
        <w:rPr>
          <w:rFonts w:ascii="AdvTT0eeac7f7.B" w:hAnsi="AdvTT0eeac7f7.B" w:cs="AdvTT0eeac7f7.B"/>
        </w:rPr>
        <w:t>focus</w:t>
      </w:r>
      <w:r>
        <w:rPr>
          <w:rFonts w:ascii="AdvTT0eeac7f7.B" w:hAnsi="AdvTT0eeac7f7.B" w:cs="AdvTT0eeac7f7.B"/>
        </w:rPr>
        <w:t xml:space="preserve"> </w:t>
      </w:r>
      <w:r w:rsidRPr="00D23CB6">
        <w:rPr>
          <w:rFonts w:ascii="AdvTT0eeac7f7.B" w:hAnsi="AdvTT0eeac7f7.B" w:cs="AdvTT0eeac7f7.B"/>
        </w:rPr>
        <w:t xml:space="preserve"> </w:t>
      </w:r>
      <w:r>
        <w:rPr>
          <w:rFonts w:ascii="AdvTT0eeac7f7.B" w:hAnsi="AdvTT0eeac7f7.B" w:cs="AdvTT0eeac7f7.B"/>
        </w:rPr>
        <w:t>is</w:t>
      </w:r>
      <w:r w:rsidRPr="00D23CB6">
        <w:rPr>
          <w:rFonts w:ascii="AdvTT0eeac7f7.B" w:hAnsi="AdvTT0eeac7f7.B" w:cs="AdvTT0eeac7f7.B"/>
        </w:rPr>
        <w:t xml:space="preserve">   on noninvasive measures and maximizing medical therapies.Endoscopic procedures have been reserved for those  timely interventions that are most likely to be therapeutic.The role of multidisciplinary discussion, although  important, has become critical</w:t>
      </w:r>
      <w:r>
        <w:rPr>
          <w:rFonts w:ascii="AdvTT0eeac7f7.B" w:hAnsi="AdvTT0eeac7f7.B" w:cs="AdvTT0eeac7f7.B"/>
        </w:rPr>
        <w:t xml:space="preserve"> now</w:t>
      </w:r>
      <w:r w:rsidRPr="00D23CB6">
        <w:rPr>
          <w:rFonts w:ascii="AdvTT0eeac7f7.B" w:hAnsi="AdvTT0eeac7f7.B" w:cs="AdvTT0eeac7f7.B"/>
        </w:rPr>
        <w:t>.Advancing a clear vision and a transparent process for how  to organize and triage care in the recovery phase will allow</w:t>
      </w:r>
      <w:r w:rsidRPr="00D23CB6">
        <w:rPr>
          <w:rFonts w:ascii="AdvTT08640291" w:hAnsi="AdvTT08640291" w:cs="AdvTT08640291"/>
          <w:color w:val="000000"/>
        </w:rPr>
        <w:t xml:space="preserve">    </w:t>
      </w:r>
      <w:r w:rsidRPr="00D23CB6">
        <w:rPr>
          <w:rFonts w:ascii="AdvTT0eeac7f7.B" w:hAnsi="AdvTT0eeac7f7.B" w:cs="AdvTT0eeac7f7.B"/>
        </w:rPr>
        <w:t>for a smooth transition to our new normal.</w:t>
      </w:r>
      <w:r w:rsidRPr="00D23CB6">
        <w:rPr>
          <w:rFonts w:ascii="HelveticaNeueLTStd-Hv" w:hAnsi="HelveticaNeueLTStd-Hv" w:cs="HelveticaNeueLTStd-Hv"/>
          <w:color w:val="0000FF"/>
        </w:rPr>
        <w:t xml:space="preserve">  </w:t>
      </w:r>
      <w:r w:rsidRPr="00D23CB6">
        <w:rPr>
          <w:rFonts w:ascii="AdvTT08640291" w:hAnsi="AdvTT08640291" w:cs="AdvTT08640291"/>
        </w:rPr>
        <w:t>For percutaneous endoscopic gastrostomy(PEG) placements even in this time of</w:t>
      </w:r>
      <w:r w:rsidRPr="00D23CB6">
        <w:rPr>
          <w:rFonts w:ascii="SabonLTStd-Roman" w:hAnsi="SabonLTStd-Roman" w:cs="SabonLTStd-Roman"/>
          <w:color w:val="000000"/>
        </w:rPr>
        <w:t xml:space="preserve">  </w:t>
      </w:r>
      <w:r w:rsidRPr="00D23CB6">
        <w:rPr>
          <w:rFonts w:ascii="AdvTT08640291" w:hAnsi="AdvTT08640291" w:cs="AdvTT08640291"/>
        </w:rPr>
        <w:lastRenderedPageBreak/>
        <w:t>pandemic</w:t>
      </w:r>
      <w:r>
        <w:rPr>
          <w:rFonts w:ascii="AdvTT08640291" w:hAnsi="AdvTT08640291" w:cs="AdvTT08640291"/>
        </w:rPr>
        <w:t xml:space="preserve"> needs to be avoided .</w:t>
      </w:r>
      <w:r w:rsidRPr="00D23CB6">
        <w:rPr>
          <w:rFonts w:ascii="AdvTT08640291" w:hAnsi="AdvTT08640291" w:cs="AdvTT08640291"/>
        </w:rPr>
        <w:t xml:space="preserve"> </w:t>
      </w:r>
      <w:r w:rsidRPr="00D23CB6">
        <w:rPr>
          <w:rFonts w:ascii="AdvTT08640291" w:hAnsi="AdvTT08640291" w:cs="AdvTT08640291"/>
          <w:color w:val="000000"/>
        </w:rPr>
        <w:t>Despite the viral effects of the SARS-CoV-2 in the GIT, enteral nutrition is still the preferred method of nutrition therapy for patients with CD-19 because of</w:t>
      </w:r>
      <w:r w:rsidRPr="00D23CB6">
        <w:rPr>
          <w:rFonts w:ascii="AdvTT08640291" w:hAnsi="AdvTT08640291" w:cs="AdvTT08640291"/>
        </w:rPr>
        <w:t xml:space="preserve"> </w:t>
      </w:r>
      <w:r w:rsidRPr="00D23CB6">
        <w:rPr>
          <w:rFonts w:ascii="AdvTT08640291" w:hAnsi="AdvTT08640291" w:cs="AdvTT08640291"/>
          <w:color w:val="000000"/>
        </w:rPr>
        <w:t>its multiple bene</w:t>
      </w:r>
      <w:r w:rsidRPr="00D23CB6">
        <w:rPr>
          <w:rFonts w:ascii="AdvTT08640291+fb" w:hAnsi="AdvTT08640291+fb" w:cs="AdvTT08640291+fb"/>
          <w:color w:val="000000"/>
        </w:rPr>
        <w:t>fi</w:t>
      </w:r>
      <w:r w:rsidRPr="00D23CB6">
        <w:rPr>
          <w:rFonts w:ascii="AdvTT08640291" w:hAnsi="AdvTT08640291" w:cs="AdvTT08640291"/>
          <w:color w:val="000000"/>
        </w:rPr>
        <w:t>ts in the gut. It supports the structural  and functional integrity of the gut, thereby modulating  systemic immunity, attenuating disease severity,aiding in good results.</w:t>
      </w:r>
      <w:r w:rsidRPr="00D23CB6">
        <w:rPr>
          <w:rFonts w:ascii="AdvTT08640291" w:hAnsi="AdvTT08640291" w:cs="AdvTT08640291"/>
          <w:color w:val="2197D2"/>
        </w:rPr>
        <w:t xml:space="preserve"> </w:t>
      </w:r>
      <w:r w:rsidRPr="00D23CB6">
        <w:rPr>
          <w:rFonts w:ascii="AdvTT08640291" w:hAnsi="AdvTT08640291" w:cs="AdvTT08640291"/>
          <w:color w:val="000000"/>
        </w:rPr>
        <w:t>However, the  presence of GI symptoms such as anorexia, N,V,Din some patients with CD-19complicates this challenge to feed the patient.</w:t>
      </w:r>
      <w:r w:rsidRPr="00D23CB6">
        <w:rPr>
          <w:rFonts w:ascii="AdvPSA88A" w:hAnsi="AdvPSA88A" w:cs="AdvPSA88A"/>
        </w:rPr>
        <w:t xml:space="preserve"> </w:t>
      </w:r>
    </w:p>
    <w:p w:rsidR="00A459C2" w:rsidRPr="00E040D6" w:rsidRDefault="00A459C2" w:rsidP="00A459C2">
      <w:pPr>
        <w:autoSpaceDE w:val="0"/>
        <w:autoSpaceDN w:val="0"/>
        <w:adjustRightInd w:val="0"/>
        <w:spacing w:after="0" w:line="240" w:lineRule="auto"/>
        <w:rPr>
          <w:rFonts w:ascii="AdvTT1875e499" w:hAnsi="AdvTT1875e499" w:cs="AdvTT1875e499"/>
          <w:color w:val="231F20"/>
        </w:rPr>
      </w:pPr>
      <w:r>
        <w:rPr>
          <w:rFonts w:ascii="AdvPSGLR" w:hAnsi="AdvPSGLR" w:cs="AdvPSGLR"/>
        </w:rPr>
        <w:t>F</w:t>
      </w:r>
      <w:r w:rsidRPr="00D23CB6">
        <w:rPr>
          <w:rFonts w:ascii="AdvPSGLR" w:hAnsi="AdvPSGLR" w:cs="AdvPSGLR"/>
        </w:rPr>
        <w:t xml:space="preserve">or  emergency colorectal surgery, </w:t>
      </w:r>
      <w:r>
        <w:rPr>
          <w:rFonts w:ascii="AdvPSGLR" w:hAnsi="AdvPSGLR" w:cs="AdvPSGLR"/>
        </w:rPr>
        <w:t>like</w:t>
      </w:r>
      <w:r w:rsidRPr="00D23CB6">
        <w:rPr>
          <w:rFonts w:ascii="AdvPSGLR" w:hAnsi="AdvPSGLR" w:cs="AdvPSGLR"/>
        </w:rPr>
        <w:t xml:space="preserve"> </w:t>
      </w:r>
      <w:r>
        <w:rPr>
          <w:rFonts w:ascii="AdvPSGLR" w:hAnsi="AdvPSGLR" w:cs="AdvPSGLR"/>
        </w:rPr>
        <w:t xml:space="preserve">cancer surgery ,queries on </w:t>
      </w:r>
      <w:r w:rsidRPr="00D23CB6">
        <w:rPr>
          <w:rFonts w:ascii="AdvPSGLR" w:hAnsi="AdvPSGLR" w:cs="AdvPSGLR"/>
        </w:rPr>
        <w:t>operating room (OR) utilization and techniques  ne</w:t>
      </w:r>
      <w:r>
        <w:rPr>
          <w:rFonts w:ascii="AdvPSGLR" w:hAnsi="AdvPSGLR" w:cs="AdvPSGLR"/>
        </w:rPr>
        <w:t>eded to be addressed. C</w:t>
      </w:r>
      <w:r w:rsidRPr="00D23CB6">
        <w:rPr>
          <w:rFonts w:ascii="AdvPSGLR" w:hAnsi="AdvPSGLR" w:cs="AdvPSGLR"/>
        </w:rPr>
        <w:t xml:space="preserve">aregiver safety  relating to </w:t>
      </w:r>
      <w:r>
        <w:rPr>
          <w:rFonts w:ascii="AdvPSGLR" w:hAnsi="AdvPSGLR" w:cs="AdvPSGLR"/>
        </w:rPr>
        <w:t xml:space="preserve">PPE and </w:t>
      </w:r>
      <w:r w:rsidRPr="00D23CB6">
        <w:rPr>
          <w:rFonts w:ascii="AdvPSGLR" w:hAnsi="AdvPSGLR" w:cs="AdvPSGLR"/>
        </w:rPr>
        <w:t>OR</w:t>
      </w:r>
      <w:r>
        <w:rPr>
          <w:rFonts w:ascii="AdvPSGLR" w:hAnsi="AdvPSGLR" w:cs="AdvPSGLR"/>
        </w:rPr>
        <w:t xml:space="preserve"> </w:t>
      </w:r>
      <w:r w:rsidRPr="00D23CB6">
        <w:rPr>
          <w:rFonts w:ascii="AdvPSGLR" w:hAnsi="AdvPSGLR" w:cs="AdvPSGLR"/>
        </w:rPr>
        <w:t>environment.</w:t>
      </w:r>
      <w:r>
        <w:rPr>
          <w:rFonts w:ascii="AdvPSGLR" w:hAnsi="AdvPSGLR" w:cs="AdvPSGLR"/>
        </w:rPr>
        <w:t xml:space="preserve">with,extra   PPE may be required on  </w:t>
      </w:r>
      <w:r w:rsidRPr="00D23CB6">
        <w:rPr>
          <w:rFonts w:ascii="AdvPSGLR" w:hAnsi="AdvPSGLR" w:cs="AdvPSGLR"/>
        </w:rPr>
        <w:t>local</w:t>
      </w:r>
      <w:r>
        <w:rPr>
          <w:rFonts w:ascii="AdvPSGLR" w:hAnsi="AdvPSGLR" w:cs="AdvPSGLR"/>
        </w:rPr>
        <w:t xml:space="preserve"> presence </w:t>
      </w:r>
      <w:r w:rsidRPr="00D23CB6">
        <w:rPr>
          <w:rFonts w:ascii="AdvPSGLR" w:hAnsi="AdvPSGLR" w:cs="AdvPSGLR"/>
        </w:rPr>
        <w:t xml:space="preserve">of CD-19 testing   </w:t>
      </w:r>
      <w:r>
        <w:rPr>
          <w:rFonts w:ascii="AdvPSGLR" w:hAnsi="AdvPSGLR" w:cs="AdvPSGLR"/>
        </w:rPr>
        <w:t xml:space="preserve">plus </w:t>
      </w:r>
      <w:r w:rsidRPr="00D23CB6">
        <w:rPr>
          <w:rFonts w:ascii="AdvPSGLR" w:hAnsi="AdvPSGLR" w:cs="AdvPSGLR"/>
        </w:rPr>
        <w:t xml:space="preserve">incidence of known </w:t>
      </w:r>
      <w:r>
        <w:rPr>
          <w:rFonts w:ascii="AdvPSGLR" w:hAnsi="AdvPSGLR" w:cs="AdvPSGLR"/>
        </w:rPr>
        <w:t xml:space="preserve">infection there.Besides </w:t>
      </w:r>
      <w:r w:rsidRPr="00D23CB6">
        <w:rPr>
          <w:rFonts w:ascii="AdvPSGLR" w:hAnsi="AdvPSGLR" w:cs="AdvPSGLR"/>
        </w:rPr>
        <w:t>standard C</w:t>
      </w:r>
      <w:r>
        <w:rPr>
          <w:rFonts w:ascii="AdvPSGLR" w:hAnsi="AdvPSGLR" w:cs="AdvPSGLR"/>
        </w:rPr>
        <w:t>D-</w:t>
      </w:r>
      <w:r w:rsidRPr="00D23CB6">
        <w:rPr>
          <w:rFonts w:ascii="AdvPSGLR" w:hAnsi="AdvPSGLR" w:cs="AdvPSGLR"/>
        </w:rPr>
        <w:t xml:space="preserve">19 PPE precautions, a negative-pressure environment, including an OR, </w:t>
      </w:r>
      <w:r>
        <w:rPr>
          <w:rFonts w:ascii="AdvPSGLR" w:hAnsi="AdvPSGLR" w:cs="AdvPSGLR"/>
        </w:rPr>
        <w:t>is</w:t>
      </w:r>
      <w:r w:rsidRPr="00D23CB6">
        <w:rPr>
          <w:rFonts w:ascii="AdvPSGLR" w:hAnsi="AdvPSGLR" w:cs="AdvPSGLR"/>
        </w:rPr>
        <w:t xml:space="preserve"> </w:t>
      </w:r>
      <w:r>
        <w:rPr>
          <w:rFonts w:ascii="AdvPSGLR" w:hAnsi="AdvPSGLR" w:cs="AdvPSGLR"/>
        </w:rPr>
        <w:t xml:space="preserve">advocated,mainly </w:t>
      </w:r>
      <w:r w:rsidRPr="00D23CB6">
        <w:rPr>
          <w:rFonts w:ascii="AdvPSGLR" w:hAnsi="AdvPSGLR" w:cs="AdvPSGLR"/>
        </w:rPr>
        <w:t xml:space="preserve"> for  </w:t>
      </w:r>
      <w:r>
        <w:rPr>
          <w:rFonts w:ascii="AdvPSGLR" w:hAnsi="AdvPSGLR" w:cs="AdvPSGLR"/>
        </w:rPr>
        <w:t>aerosol-generating procedures(</w:t>
      </w:r>
      <w:r w:rsidRPr="00D23CB6">
        <w:rPr>
          <w:rFonts w:ascii="AdvPSGLR" w:hAnsi="AdvPSGLR" w:cs="AdvPSGLR"/>
        </w:rPr>
        <w:t xml:space="preserve">AGPs). Hospital spaces from patient wards toORs to endoscopy  rooms have </w:t>
      </w:r>
      <w:r>
        <w:rPr>
          <w:rFonts w:ascii="AdvPSGLR" w:hAnsi="AdvPSGLR" w:cs="AdvPSGLR"/>
        </w:rPr>
        <w:t xml:space="preserve">been successfullyconverted </w:t>
      </w:r>
      <w:r w:rsidRPr="00D23CB6">
        <w:rPr>
          <w:rFonts w:ascii="AdvPSGLR" w:hAnsi="AdvPSGLR" w:cs="AdvPSGLR"/>
        </w:rPr>
        <w:t>from standard positive-pressure to negative-pressure  spaces</w:t>
      </w:r>
      <w:r>
        <w:rPr>
          <w:rFonts w:ascii="AdvPSGLR" w:hAnsi="AdvPSGLR" w:cs="AdvPSGLR"/>
        </w:rPr>
        <w:t>.Moreover</w:t>
      </w:r>
      <w:r w:rsidRPr="00D23CB6">
        <w:rPr>
          <w:rFonts w:ascii="AdvPSGLR" w:hAnsi="AdvPSGLR" w:cs="AdvPSGLR"/>
        </w:rPr>
        <w:t xml:space="preserve">, minimally invasive  surgery with pneumoperitoneum is an </w:t>
      </w:r>
      <w:r>
        <w:rPr>
          <w:rFonts w:ascii="AdvPSGLR" w:hAnsi="AdvPSGLR" w:cs="AdvPSGLR"/>
        </w:rPr>
        <w:t>AGP and thus  must be carefully</w:t>
      </w:r>
      <w:r w:rsidRPr="00D23CB6">
        <w:rPr>
          <w:rFonts w:ascii="AdvPSGLR" w:hAnsi="AdvPSGLR" w:cs="AdvPSGLR"/>
        </w:rPr>
        <w:t xml:space="preserve">considered. </w:t>
      </w:r>
      <w:r>
        <w:rPr>
          <w:rFonts w:ascii="AdvPSGLR" w:hAnsi="AdvPSGLR" w:cs="AdvPSGLR"/>
        </w:rPr>
        <w:t xml:space="preserve">Present worry </w:t>
      </w:r>
      <w:r w:rsidRPr="00D23CB6">
        <w:rPr>
          <w:rFonts w:ascii="AdvPSGLR" w:hAnsi="AdvPSGLR" w:cs="AdvPSGLR"/>
        </w:rPr>
        <w:t xml:space="preserve">is  </w:t>
      </w:r>
      <w:r>
        <w:rPr>
          <w:rFonts w:ascii="AdvPSGLR" w:hAnsi="AdvPSGLR" w:cs="AdvPSGLR"/>
        </w:rPr>
        <w:t xml:space="preserve">to </w:t>
      </w:r>
      <w:r w:rsidRPr="00D23CB6">
        <w:rPr>
          <w:rFonts w:ascii="AdvPSGLR" w:hAnsi="AdvPSGLR" w:cs="AdvPSGLR"/>
        </w:rPr>
        <w:t>avoid</w:t>
      </w:r>
      <w:r>
        <w:rPr>
          <w:rFonts w:ascii="AdvPSGLR" w:hAnsi="AdvPSGLR" w:cs="AdvPSGLR"/>
        </w:rPr>
        <w:t xml:space="preserve"> in </w:t>
      </w:r>
      <w:r w:rsidRPr="00D23CB6">
        <w:rPr>
          <w:rFonts w:ascii="AdvPSGLR" w:hAnsi="AdvPSGLR" w:cs="AdvPSGLR"/>
        </w:rPr>
        <w:t xml:space="preserve"> patients </w:t>
      </w:r>
      <w:r>
        <w:rPr>
          <w:rFonts w:ascii="AdvPSGLR" w:hAnsi="AdvPSGLR" w:cs="AdvPSGLR"/>
        </w:rPr>
        <w:t xml:space="preserve"> </w:t>
      </w:r>
      <w:r w:rsidRPr="00D23CB6">
        <w:rPr>
          <w:rFonts w:ascii="AdvPSGLR" w:hAnsi="AdvPSGLR" w:cs="AdvPSGLR"/>
        </w:rPr>
        <w:t xml:space="preserve">infected with SARS-CoV-2 or </w:t>
      </w:r>
      <w:r>
        <w:rPr>
          <w:rFonts w:ascii="AdvPSGLR" w:hAnsi="AdvPSGLR" w:cs="AdvPSGLR"/>
        </w:rPr>
        <w:t xml:space="preserve">we </w:t>
      </w:r>
      <w:r w:rsidRPr="00D23CB6">
        <w:rPr>
          <w:rFonts w:ascii="AdvPSGLR" w:hAnsi="AdvPSGLR" w:cs="AdvPSGLR"/>
        </w:rPr>
        <w:t xml:space="preserve">can </w:t>
      </w:r>
      <w:r>
        <w:rPr>
          <w:rFonts w:ascii="AdvPSGLR" w:hAnsi="AdvPSGLR" w:cs="AdvPSGLR"/>
        </w:rPr>
        <w:t>do</w:t>
      </w:r>
      <w:r w:rsidRPr="00D23CB6">
        <w:rPr>
          <w:rFonts w:ascii="AdvPSGLR" w:hAnsi="AdvPSGLR" w:cs="AdvPSGLR"/>
        </w:rPr>
        <w:t xml:space="preserve">under precautions with safety measures inplace </w:t>
      </w:r>
      <w:r>
        <w:rPr>
          <w:rFonts w:ascii="AdvPSGLR" w:hAnsi="AdvPSGLR" w:cs="AdvPSGLR"/>
        </w:rPr>
        <w:t>-</w:t>
      </w:r>
      <w:r w:rsidRPr="00D23CB6">
        <w:rPr>
          <w:rFonts w:ascii="AdvPSGLR" w:hAnsi="AdvPSGLR" w:cs="AdvPSGLR"/>
        </w:rPr>
        <w:t>minimize exposure t</w:t>
      </w:r>
      <w:r>
        <w:rPr>
          <w:rFonts w:ascii="AdvPSGLR" w:hAnsi="AdvPSGLR" w:cs="AdvPSGLR"/>
        </w:rPr>
        <w:t xml:space="preserve">o aerosolized virus particles.Significant </w:t>
      </w:r>
      <w:r w:rsidRPr="00D23CB6">
        <w:rPr>
          <w:rFonts w:ascii="AdvPSGLR" w:hAnsi="AdvPSGLR" w:cs="AdvPSGLR"/>
        </w:rPr>
        <w:t xml:space="preserve"> lessons learned from pressurized   intraperitoneal aerosolized chemotherapy procedures are   help</w:t>
      </w:r>
      <w:r>
        <w:rPr>
          <w:rFonts w:ascii="AdvPSGLR" w:hAnsi="AdvPSGLR" w:cs="AdvPSGLR"/>
        </w:rPr>
        <w:t>ful</w:t>
      </w:r>
      <w:r w:rsidRPr="00D23CB6">
        <w:rPr>
          <w:rFonts w:ascii="AdvPSGLR" w:hAnsi="AdvPSGLR" w:cs="AdvPSGLR"/>
        </w:rPr>
        <w:t xml:space="preserve">  to improve our </w:t>
      </w:r>
      <w:r>
        <w:rPr>
          <w:rFonts w:ascii="AdvPSGLR" w:hAnsi="AdvPSGLR" w:cs="AdvPSGLR"/>
        </w:rPr>
        <w:t>insight &amp;treat</w:t>
      </w:r>
      <w:r w:rsidRPr="00D23CB6">
        <w:rPr>
          <w:rFonts w:ascii="AdvPSGLR" w:hAnsi="AdvPSGLR" w:cs="AdvPSGLR"/>
        </w:rPr>
        <w:t>.</w:t>
      </w:r>
      <w:r w:rsidRPr="00D23CB6">
        <w:rPr>
          <w:rFonts w:ascii="AdvGSANS-B" w:hAnsi="AdvGSANS-B" w:cs="AdvGSANS-B"/>
        </w:rPr>
        <w:t xml:space="preserve"> </w:t>
      </w:r>
    </w:p>
    <w:p w:rsidR="00A459C2" w:rsidRPr="00D23CB6" w:rsidRDefault="00A459C2" w:rsidP="00A459C2">
      <w:pPr>
        <w:autoSpaceDE w:val="0"/>
        <w:autoSpaceDN w:val="0"/>
        <w:adjustRightInd w:val="0"/>
        <w:spacing w:after="0" w:line="240" w:lineRule="auto"/>
        <w:rPr>
          <w:rFonts w:ascii="AdvPSGLR" w:hAnsi="AdvPSGLR" w:cs="AdvPSGLR"/>
        </w:rPr>
      </w:pPr>
      <w:r w:rsidRPr="00D23CB6">
        <w:rPr>
          <w:rFonts w:ascii="XhmlhvZapfHumanist601BT-Demi" w:hAnsi="XhmlhvZapfHumanist601BT-Demi" w:cs="XhmlhvZapfHumanist601BT-Demi"/>
        </w:rPr>
        <w:t>Mayo Clinic</w:t>
      </w:r>
      <w:r>
        <w:rPr>
          <w:rFonts w:ascii="XhmlhvZapfHumanist601BT-Demi" w:hAnsi="XhmlhvZapfHumanist601BT-Demi" w:cs="XhmlhvZapfHumanist601BT-Demi"/>
        </w:rPr>
        <w:t xml:space="preserve"> r</w:t>
      </w:r>
      <w:r w:rsidRPr="00D23CB6">
        <w:rPr>
          <w:rFonts w:ascii="XhmlhvZapfHumanist601BT-Demi" w:hAnsi="XhmlhvZapfHumanist601BT-Demi" w:cs="XhmlhvZapfHumanist601BT-Demi"/>
        </w:rPr>
        <w:t xml:space="preserve">esearchers, used a computer model to compare three strategies for CD-19 testing using </w:t>
      </w:r>
      <w:r>
        <w:rPr>
          <w:rFonts w:ascii="XhmlhvZapfHumanist601BT-Demi" w:hAnsi="XhmlhvZapfHumanist601BT-Demi" w:cs="XhmlhvZapfHumanist601BT-Demi"/>
        </w:rPr>
        <w:t xml:space="preserve"> PCR</w:t>
      </w:r>
      <w:r w:rsidRPr="00D23CB6">
        <w:rPr>
          <w:rFonts w:ascii="XhmlhvZapfHumanist601BT-Demi" w:hAnsi="XhmlhvZapfHumanist601BT-Demi" w:cs="XhmlhvZapfHumanist601BT-Demi"/>
        </w:rPr>
        <w:t xml:space="preserve"> for patients scheduled to undergo endoscopic proced</w:t>
      </w:r>
      <w:r>
        <w:rPr>
          <w:rFonts w:ascii="XhmlhvZapfHumanist601BT-Demi" w:hAnsi="XhmlhvZapfHumanist601BT-Demi" w:cs="XhmlhvZapfHumanist601BT-Demi"/>
        </w:rPr>
        <w:t>ures during the CD-19 pandemic:</w:t>
      </w:r>
      <w:r w:rsidRPr="00D23CB6">
        <w:rPr>
          <w:rFonts w:ascii="XhmlhvZapfHumanist601BT-Demi" w:hAnsi="XhmlhvZapfHumanist601BT-Demi" w:cs="XhmlhvZapfHumanist601BT-Demi"/>
        </w:rPr>
        <w:t>strategy 1:</w:t>
      </w:r>
      <w:r w:rsidRPr="00D23CB6">
        <w:rPr>
          <w:rFonts w:ascii="AdvPSGLR" w:hAnsi="AdvPSGLR" w:cs="AdvPSGLR"/>
        </w:rPr>
        <w:t xml:space="preserve"> </w:t>
      </w:r>
      <w:r w:rsidRPr="00D23CB6">
        <w:rPr>
          <w:rFonts w:ascii="XhmlhvZapfHumanist601BT-Demi" w:hAnsi="XhmlhvZapfHumanist601BT-Demi" w:cs="XhmlhvZapfHumanist601BT-Demi"/>
        </w:rPr>
        <w:lastRenderedPageBreak/>
        <w:t>testing a</w:t>
      </w:r>
      <w:r>
        <w:rPr>
          <w:rFonts w:ascii="XhmlhvZapfHumanist601BT-Demi" w:hAnsi="XhmlhvZapfHumanist601BT-Demi" w:cs="XhmlhvZapfHumanist601BT-Demi"/>
        </w:rPr>
        <w:t>ll patients within 48 hours,</w:t>
      </w:r>
      <w:r w:rsidRPr="00D23CB6">
        <w:rPr>
          <w:rFonts w:ascii="XhmlhvZapfHumanist601BT-Demi" w:hAnsi="XhmlhvZapfHumanist601BT-Demi" w:cs="XhmlhvZapfHumanist601BT-Demi"/>
        </w:rPr>
        <w:t>with urgent procedures performed regardless of PCR result using high-risk</w:t>
      </w:r>
      <w:r w:rsidRPr="00D23CB6">
        <w:rPr>
          <w:rFonts w:ascii="AdvPSGLR" w:hAnsi="AdvPSGLR" w:cs="AdvPSGLR"/>
        </w:rPr>
        <w:t xml:space="preserve"> </w:t>
      </w:r>
      <w:r>
        <w:rPr>
          <w:rFonts w:ascii="XhmlhvZapfHumanist601BT-Demi" w:hAnsi="XhmlhvZapfHumanist601BT-Demi" w:cs="XhmlhvZapfHumanist601BT-Demi"/>
        </w:rPr>
        <w:t>PPE,</w:t>
      </w:r>
      <w:r w:rsidRPr="00D23CB6">
        <w:rPr>
          <w:rFonts w:ascii="XhmlhvZapfHumanist601BT-Demi" w:hAnsi="XhmlhvZapfHumanist601BT-Demi" w:cs="XhmlhvZapfHumanist601BT-Demi"/>
        </w:rPr>
        <w:t>and semi-urgent procedures performed with a negative result using low-risk PPE;</w:t>
      </w:r>
      <w:r w:rsidRPr="00D23CB6">
        <w:rPr>
          <w:rFonts w:ascii="AdvPSGLR" w:hAnsi="AdvPSGLR" w:cs="AdvPSGLR"/>
        </w:rPr>
        <w:t xml:space="preserve"> </w:t>
      </w:r>
      <w:r w:rsidRPr="00D23CB6">
        <w:rPr>
          <w:rFonts w:ascii="XhmlhvZapfHumanist601BT-Demi" w:hAnsi="XhmlhvZapfHumanist601BT-Demi" w:cs="XhmlhvZapfHumanist601BT-Demi"/>
        </w:rPr>
        <w:t>2</w:t>
      </w:r>
      <w:r w:rsidRPr="00D23CB6">
        <w:rPr>
          <w:rFonts w:ascii="XhmlhvZapfHumanist601BT-Demi" w:hAnsi="XhmlhvZapfHumanist601BT-Demi" w:cs="XhmlhvZapfHumanist601BT-Demi"/>
          <w:vertAlign w:val="superscript"/>
        </w:rPr>
        <w:t>nd</w:t>
      </w:r>
      <w:r w:rsidRPr="00D23CB6">
        <w:rPr>
          <w:rFonts w:ascii="XhmlhvZapfHumanist601BT-Demi" w:hAnsi="XhmlhvZapfHumanist601BT-Demi" w:cs="XhmlhvZapfHumanist601BT-Demi"/>
        </w:rPr>
        <w:t>: testing for semi-urgent procedures; and 3</w:t>
      </w:r>
      <w:r w:rsidRPr="00D23CB6">
        <w:rPr>
          <w:rFonts w:ascii="XhmlhvZapfHumanist601BT-Demi" w:hAnsi="XhmlhvZapfHumanist601BT-Demi" w:cs="XhmlhvZapfHumanist601BT-Demi"/>
          <w:vertAlign w:val="superscript"/>
        </w:rPr>
        <w:t>rd</w:t>
      </w:r>
      <w:r w:rsidRPr="00D23CB6">
        <w:rPr>
          <w:rFonts w:ascii="XhmlhvZapfHumanist601BT-Demi" w:hAnsi="XhmlhvZapfHumanist601BT-Demi" w:cs="XhmlhvZapfHumanist601BT-Demi"/>
        </w:rPr>
        <w:t>endoscopy for urgent procedures only.</w:t>
      </w:r>
    </w:p>
    <w:p w:rsidR="00A459C2" w:rsidRPr="00D23CB6" w:rsidRDefault="00A459C2" w:rsidP="00A459C2">
      <w:pPr>
        <w:autoSpaceDE w:val="0"/>
        <w:autoSpaceDN w:val="0"/>
        <w:adjustRightInd w:val="0"/>
        <w:spacing w:after="0" w:line="240" w:lineRule="auto"/>
        <w:rPr>
          <w:rFonts w:ascii="XhmlhvZapfHumanist601BT-Demi" w:hAnsi="XhmlhvZapfHumanist601BT-Demi" w:cs="XhmlhvZapfHumanist601BT-Demi"/>
        </w:rPr>
      </w:pPr>
      <w:r w:rsidRPr="00D23CB6">
        <w:rPr>
          <w:rFonts w:ascii="XhmlhvZapfHumanist601BT-Demi" w:hAnsi="XhmlhvZapfHumanist601BT-Demi" w:cs="XhmlhvZapfHumanist601BT-Demi"/>
        </w:rPr>
        <w:t xml:space="preserve">PCR testing </w:t>
      </w:r>
      <w:r>
        <w:rPr>
          <w:rFonts w:ascii="XhmlhvZapfHumanist601BT-Demi" w:hAnsi="XhmlhvZapfHumanist601BT-Demi" w:cs="XhmlhvZapfHumanist601BT-Demi"/>
        </w:rPr>
        <w:t>was</w:t>
      </w:r>
      <w:r w:rsidRPr="00D23CB6">
        <w:rPr>
          <w:rFonts w:ascii="XhmlhvZapfHumanist601BT-Demi" w:hAnsi="XhmlhvZapfHumanist601BT-Demi" w:cs="XhmlhvZapfHumanist601BT-Demi"/>
        </w:rPr>
        <w:t>safe and effective intervention to resume endoscopy in semi-urgent and</w:t>
      </w:r>
    </w:p>
    <w:p w:rsidR="00A459C2" w:rsidRPr="00D23CB6" w:rsidRDefault="00A459C2" w:rsidP="00A459C2">
      <w:pPr>
        <w:pStyle w:val="Default"/>
        <w:rPr>
          <w:sz w:val="22"/>
          <w:szCs w:val="22"/>
        </w:rPr>
      </w:pPr>
      <w:r w:rsidRPr="00D23CB6">
        <w:rPr>
          <w:rFonts w:ascii="XhmlhvZapfHumanist601BT-Demi" w:hAnsi="XhmlhvZapfHumanist601BT-Demi" w:cs="XhmlhvZapfHumanist601BT-Demi"/>
          <w:sz w:val="22"/>
          <w:szCs w:val="22"/>
        </w:rPr>
        <w:t>elective cases, requiring expendituresUS22</w:t>
      </w:r>
      <w:r>
        <w:rPr>
          <w:rFonts w:ascii="XhmlhvZapfHumanist601BT-Demi" w:hAnsi="XhmlhvZapfHumanist601BT-Demi" w:cs="XhmlhvZapfHumanist601BT-Demi"/>
          <w:sz w:val="22"/>
          <w:szCs w:val="22"/>
        </w:rPr>
        <w:t>-</w:t>
      </w:r>
      <w:r w:rsidRPr="00D23CB6">
        <w:rPr>
          <w:rFonts w:ascii="XhmlhvZapfHumanist601BT-Demi" w:hAnsi="XhmlhvZapfHumanist601BT-Demi" w:cs="XhmlhvZapfHumanist601BT-Demi"/>
          <w:sz w:val="22"/>
          <w:szCs w:val="22"/>
        </w:rPr>
        <w:t xml:space="preserve"> $105 in testing per patient for strategies 2 and 3, respectively. This  would allow an increase to 19.4% and 95.3% of baseline endoscopies, respectively. Implementing nationwide PCR  testing in the US would require 13 million </w:t>
      </w:r>
      <w:r>
        <w:rPr>
          <w:rFonts w:ascii="XhmlhvZapfHumanist601BT-Demi" w:hAnsi="XhmlhvZapfHumanist601BT-Demi" w:cs="XhmlhvZapfHumanist601BT-Demi"/>
          <w:sz w:val="22"/>
          <w:szCs w:val="22"/>
        </w:rPr>
        <w:t>to</w:t>
      </w:r>
      <w:r w:rsidRPr="00D23CB6">
        <w:rPr>
          <w:rFonts w:ascii="XhmlhvZapfHumanist601BT-Demi" w:hAnsi="XhmlhvZapfHumanist601BT-Demi" w:cs="XhmlhvZapfHumanist601BT-Demi"/>
          <w:sz w:val="22"/>
          <w:szCs w:val="22"/>
        </w:rPr>
        <w:t xml:space="preserve">$64 million per week for </w:t>
      </w:r>
      <w:r>
        <w:rPr>
          <w:rFonts w:ascii="XhmlhvZapfHumanist601BT-Demi" w:hAnsi="XhmlhvZapfHumanist601BT-Demi" w:cs="XhmlhvZapfHumanist601BT-Demi"/>
          <w:sz w:val="22"/>
          <w:szCs w:val="22"/>
        </w:rPr>
        <w:t xml:space="preserve">the two strategies, respectivel,with a return </w:t>
      </w:r>
      <w:r w:rsidRPr="00D23CB6">
        <w:rPr>
          <w:rFonts w:ascii="XhmlhvZapfHumanist601BT-Demi" w:hAnsi="XhmlhvZapfHumanist601BT-Demi" w:cs="XhmlhvZapfHumanist601BT-Demi"/>
          <w:sz w:val="22"/>
          <w:szCs w:val="22"/>
        </w:rPr>
        <w:t xml:space="preserve">of $165 million and $767 million to providers, respectively. </w:t>
      </w:r>
      <w:r>
        <w:rPr>
          <w:rFonts w:ascii="XhmlhvZapfHumanist601BT-Demi" w:hAnsi="XhmlhvZapfHumanist601BT-Demi" w:cs="XhmlhvZapfHumanist601BT-Demi"/>
          <w:sz w:val="22"/>
          <w:szCs w:val="22"/>
        </w:rPr>
        <w:t>H</w:t>
      </w:r>
      <w:r w:rsidRPr="00D23CB6">
        <w:rPr>
          <w:rFonts w:ascii="XhmlhvZapfHumanist601BT-Demi" w:hAnsi="XhmlhvZapfHumanist601BT-Demi" w:cs="XhmlhvZapfHumanist601BT-Demi"/>
          <w:sz w:val="22"/>
          <w:szCs w:val="22"/>
        </w:rPr>
        <w:t xml:space="preserve">ealthcare workers infected in  the endoscopy unit weekly were around 65 and 325 for the two strategies, respectively. </w:t>
      </w:r>
      <w:r w:rsidRPr="00D23CB6">
        <w:rPr>
          <w:sz w:val="22"/>
          <w:szCs w:val="22"/>
        </w:rPr>
        <w:t>per Aytin et al.</w:t>
      </w:r>
      <w:r>
        <w:rPr>
          <w:sz w:val="22"/>
          <w:szCs w:val="22"/>
        </w:rPr>
        <w:t>points</w:t>
      </w:r>
      <w:r w:rsidRPr="00D23CB6">
        <w:rPr>
          <w:sz w:val="22"/>
          <w:szCs w:val="22"/>
        </w:rPr>
        <w:t>only life-threatening emergency operations be performed in the stage where the epidemic exceeds the capacity of the hospitals (</w:t>
      </w:r>
      <w:r>
        <w:rPr>
          <w:sz w:val="22"/>
          <w:szCs w:val="22"/>
        </w:rPr>
        <w:t>1</w:t>
      </w:r>
      <w:r w:rsidRPr="008D7FCF">
        <w:rPr>
          <w:sz w:val="22"/>
          <w:szCs w:val="22"/>
          <w:vertAlign w:val="superscript"/>
        </w:rPr>
        <w:t>st</w:t>
      </w:r>
      <w:r>
        <w:rPr>
          <w:sz w:val="22"/>
          <w:szCs w:val="22"/>
        </w:rPr>
        <w:t>stage),</w:t>
      </w:r>
      <w:r w:rsidRPr="00D23CB6">
        <w:rPr>
          <w:sz w:val="22"/>
          <w:szCs w:val="22"/>
        </w:rPr>
        <w:t>cancer and transplantation surgery should be ini</w:t>
      </w:r>
      <w:r>
        <w:rPr>
          <w:sz w:val="22"/>
          <w:szCs w:val="22"/>
        </w:rPr>
        <w:t>tiated when the outbreak begins</w:t>
      </w:r>
      <w:r w:rsidRPr="00D23CB6">
        <w:rPr>
          <w:sz w:val="22"/>
          <w:szCs w:val="22"/>
        </w:rPr>
        <w:t>t</w:t>
      </w:r>
      <w:r>
        <w:rPr>
          <w:sz w:val="22"/>
          <w:szCs w:val="22"/>
        </w:rPr>
        <w:t>o be controlled (2</w:t>
      </w:r>
      <w:r w:rsidRPr="008D7FCF">
        <w:rPr>
          <w:sz w:val="22"/>
          <w:szCs w:val="22"/>
          <w:vertAlign w:val="superscript"/>
        </w:rPr>
        <w:t>nd</w:t>
      </w:r>
      <w:r>
        <w:rPr>
          <w:sz w:val="22"/>
          <w:szCs w:val="22"/>
        </w:rPr>
        <w:t xml:space="preserve">stage),and surgeryfor </w:t>
      </w:r>
      <w:r w:rsidRPr="00D23CB6">
        <w:rPr>
          <w:sz w:val="22"/>
          <w:szCs w:val="22"/>
        </w:rPr>
        <w:t>elective cases be performed in a controlled manner with suppression of the outbreak (</w:t>
      </w:r>
      <w:r>
        <w:rPr>
          <w:sz w:val="22"/>
          <w:szCs w:val="22"/>
        </w:rPr>
        <w:t>3</w:t>
      </w:r>
      <w:r w:rsidRPr="008D7FCF">
        <w:rPr>
          <w:sz w:val="22"/>
          <w:szCs w:val="22"/>
          <w:vertAlign w:val="superscript"/>
        </w:rPr>
        <w:t>rd</w:t>
      </w:r>
      <w:r>
        <w:rPr>
          <w:sz w:val="22"/>
          <w:szCs w:val="22"/>
        </w:rPr>
        <w:t xml:space="preserve"> </w:t>
      </w:r>
      <w:r w:rsidRPr="00D23CB6">
        <w:rPr>
          <w:sz w:val="22"/>
          <w:szCs w:val="22"/>
        </w:rPr>
        <w:t>stage)</w:t>
      </w:r>
      <w:r>
        <w:rPr>
          <w:sz w:val="22"/>
          <w:szCs w:val="22"/>
        </w:rPr>
        <w:t>.M</w:t>
      </w:r>
      <w:r w:rsidRPr="00D23CB6">
        <w:rPr>
          <w:sz w:val="22"/>
          <w:szCs w:val="22"/>
        </w:rPr>
        <w:t xml:space="preserve">ost cases can be postponed to the </w:t>
      </w:r>
      <w:r>
        <w:rPr>
          <w:sz w:val="22"/>
          <w:szCs w:val="22"/>
        </w:rPr>
        <w:t>3</w:t>
      </w:r>
      <w:r w:rsidRPr="008D7FCF">
        <w:rPr>
          <w:sz w:val="22"/>
          <w:szCs w:val="22"/>
          <w:vertAlign w:val="superscript"/>
        </w:rPr>
        <w:t>rd</w:t>
      </w:r>
      <w:r>
        <w:rPr>
          <w:sz w:val="22"/>
          <w:szCs w:val="22"/>
        </w:rPr>
        <w:t xml:space="preserve"> </w:t>
      </w:r>
      <w:r w:rsidRPr="00D23CB6">
        <w:rPr>
          <w:sz w:val="22"/>
          <w:szCs w:val="22"/>
        </w:rPr>
        <w:t xml:space="preserve">stage of the epidemic. </w:t>
      </w:r>
    </w:p>
    <w:p w:rsidR="00A459C2" w:rsidRPr="00D23CB6" w:rsidRDefault="00A459C2" w:rsidP="00A459C2">
      <w:pPr>
        <w:pStyle w:val="Pa1"/>
        <w:spacing w:before="20"/>
        <w:jc w:val="both"/>
        <w:rPr>
          <w:rFonts w:cs="Myriad Pro"/>
          <w:color w:val="000000"/>
          <w:sz w:val="22"/>
          <w:szCs w:val="22"/>
        </w:rPr>
      </w:pPr>
    </w:p>
    <w:p w:rsidR="00A459C2" w:rsidRPr="00A459C2" w:rsidRDefault="00A459C2" w:rsidP="0046369B">
      <w:pPr>
        <w:spacing w:after="0" w:line="240" w:lineRule="auto"/>
        <w:jc w:val="both"/>
        <w:rPr>
          <w:rFonts w:ascii="Times New Roman" w:eastAsia="Calibri" w:hAnsi="Times New Roman" w:cs="Times New Roman"/>
          <w:sz w:val="24"/>
          <w:szCs w:val="24"/>
          <w:lang w:val="en-US"/>
        </w:rPr>
      </w:pPr>
    </w:p>
    <w:p w:rsidR="00A459C2" w:rsidRDefault="00A459C2" w:rsidP="0046369B">
      <w:pPr>
        <w:spacing w:after="0" w:line="240" w:lineRule="auto"/>
        <w:jc w:val="both"/>
        <w:rPr>
          <w:rFonts w:ascii="Times New Roman" w:eastAsia="Calibri" w:hAnsi="Times New Roman" w:cs="Times New Roman"/>
          <w:sz w:val="24"/>
          <w:szCs w:val="24"/>
          <w:lang w:val="en-US"/>
        </w:rPr>
      </w:pPr>
    </w:p>
    <w:p w:rsidR="00A459C2" w:rsidRDefault="00A459C2" w:rsidP="0046369B">
      <w:pPr>
        <w:spacing w:after="0" w:line="240" w:lineRule="auto"/>
        <w:jc w:val="both"/>
        <w:rPr>
          <w:rFonts w:ascii="Times New Roman" w:eastAsia="Calibri" w:hAnsi="Times New Roman" w:cs="Times New Roman"/>
          <w:sz w:val="24"/>
          <w:szCs w:val="24"/>
          <w:lang w:val="en-US"/>
        </w:rPr>
      </w:pPr>
    </w:p>
    <w:p w:rsidR="00A459C2" w:rsidRDefault="00A459C2" w:rsidP="0046369B">
      <w:pPr>
        <w:spacing w:after="0" w:line="240" w:lineRule="auto"/>
        <w:jc w:val="both"/>
        <w:rPr>
          <w:rFonts w:ascii="Times New Roman" w:eastAsia="Calibri" w:hAnsi="Times New Roman" w:cs="Times New Roman"/>
          <w:sz w:val="24"/>
          <w:szCs w:val="24"/>
          <w:lang w:val="en-US"/>
        </w:rPr>
      </w:pPr>
    </w:p>
    <w:p w:rsidR="00A459C2" w:rsidRDefault="00A459C2" w:rsidP="0046369B">
      <w:pPr>
        <w:spacing w:after="0" w:line="240" w:lineRule="auto"/>
        <w:jc w:val="both"/>
        <w:rPr>
          <w:rFonts w:ascii="Times New Roman" w:eastAsia="Calibri" w:hAnsi="Times New Roman" w:cs="Times New Roman"/>
          <w:sz w:val="24"/>
          <w:szCs w:val="24"/>
          <w:lang w:val="en-US"/>
        </w:rPr>
      </w:pPr>
    </w:p>
    <w:p w:rsidR="00A459C2" w:rsidRDefault="00A459C2" w:rsidP="0046369B">
      <w:pPr>
        <w:spacing w:after="0" w:line="240" w:lineRule="auto"/>
        <w:jc w:val="both"/>
        <w:rPr>
          <w:rFonts w:ascii="Times New Roman" w:eastAsia="Calibri" w:hAnsi="Times New Roman" w:cs="Times New Roman"/>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A459C2" w:rsidRPr="00B341DE" w:rsidRDefault="00A459C2" w:rsidP="00A459C2">
      <w:pPr>
        <w:pStyle w:val="ListParagraph"/>
        <w:widowControl/>
        <w:numPr>
          <w:ilvl w:val="0"/>
          <w:numId w:val="1"/>
        </w:numPr>
        <w:autoSpaceDE w:val="0"/>
        <w:autoSpaceDN w:val="0"/>
        <w:adjustRightInd w:val="0"/>
        <w:spacing w:before="0" w:line="240" w:lineRule="auto"/>
        <w:contextualSpacing/>
        <w:jc w:val="left"/>
        <w:rPr>
          <w:rFonts w:ascii="AdvPSA183" w:hAnsi="AdvPSA183" w:cs="AdvPSA183"/>
        </w:rPr>
      </w:pPr>
      <w:r w:rsidRPr="00B341DE">
        <w:t>Kulvinder Kochar Kaur,Allahbadia GN,Singh M.</w:t>
      </w:r>
      <w:r w:rsidRPr="00B341DE">
        <w:rPr>
          <w:b/>
          <w:lang w:val="en-IN"/>
        </w:rPr>
        <w:t xml:space="preserve"> ‘</w:t>
      </w:r>
      <w:r w:rsidRPr="00B341DE">
        <w:rPr>
          <w:lang w:val="en-IN"/>
        </w:rPr>
        <w:t>’A Comprehensive review on epidemiology ,aetiopathogenesis ,diagnosis and treatment of the novel corona virus syndrome –COVID-19’’</w:t>
      </w:r>
      <w:r w:rsidRPr="00B341DE">
        <w:t xml:space="preserve"> IBEROAMERICAN JOURNAL OF MEDICINE 2020;2:110-23.</w:t>
      </w:r>
    </w:p>
    <w:p w:rsidR="00A459C2" w:rsidRPr="00B341DE" w:rsidRDefault="00A459C2" w:rsidP="00A459C2">
      <w:pPr>
        <w:pStyle w:val="ListParagraph"/>
        <w:widowControl/>
        <w:numPr>
          <w:ilvl w:val="0"/>
          <w:numId w:val="1"/>
        </w:numPr>
        <w:autoSpaceDE w:val="0"/>
        <w:autoSpaceDN w:val="0"/>
        <w:adjustRightInd w:val="0"/>
        <w:spacing w:before="0" w:line="240" w:lineRule="auto"/>
        <w:contextualSpacing/>
        <w:jc w:val="left"/>
        <w:rPr>
          <w:rStyle w:val="A5"/>
          <w:rFonts w:ascii="AdvPSA183" w:hAnsi="AdvPSA183" w:cs="AdvPSA183"/>
          <w:i w:val="0"/>
          <w:iCs w:val="0"/>
          <w:sz w:val="22"/>
          <w:szCs w:val="22"/>
        </w:rPr>
      </w:pPr>
      <w:r w:rsidRPr="00B341DE">
        <w:t>Kulvinder Kochar Kaur.</w:t>
      </w:r>
      <w:r w:rsidRPr="00B341DE">
        <w:rPr>
          <w:b/>
        </w:rPr>
        <w:t xml:space="preserve"> </w:t>
      </w:r>
      <w:r w:rsidRPr="00B341DE">
        <w:t>Editorial –Maximum possible efforts by which we  will win over this Deadly  Pandemic  of COVID-19’’</w:t>
      </w:r>
      <w:r w:rsidRPr="00B341DE">
        <w:rPr>
          <w:rStyle w:val="A5"/>
          <w:sz w:val="22"/>
          <w:szCs w:val="22"/>
        </w:rPr>
        <w:t>Acta Scientific Microbiology 2020;3(6):01-03.</w:t>
      </w:r>
    </w:p>
    <w:p w:rsidR="00A459C2" w:rsidRPr="00B341DE" w:rsidRDefault="00A459C2" w:rsidP="00A459C2">
      <w:pPr>
        <w:pStyle w:val="ListParagraph"/>
        <w:widowControl/>
        <w:numPr>
          <w:ilvl w:val="0"/>
          <w:numId w:val="1"/>
        </w:numPr>
        <w:autoSpaceDE w:val="0"/>
        <w:autoSpaceDN w:val="0"/>
        <w:adjustRightInd w:val="0"/>
        <w:spacing w:before="0" w:line="240" w:lineRule="auto"/>
        <w:contextualSpacing/>
        <w:jc w:val="left"/>
        <w:rPr>
          <w:rFonts w:ascii="AdvPSA183" w:hAnsi="AdvPSA183" w:cs="AdvPSA183"/>
        </w:rPr>
      </w:pPr>
      <w:r w:rsidRPr="00B341DE">
        <w:t>Kulvinder Kochar Kaur,Allahbadia GN,Singh M.</w:t>
      </w:r>
      <w:r w:rsidRPr="00B341DE">
        <w:rPr>
          <w:b/>
          <w:lang w:val="en-IN"/>
        </w:rPr>
        <w:t xml:space="preserve"> </w:t>
      </w:r>
      <w:r w:rsidRPr="00B341DE">
        <w:rPr>
          <w:lang w:val="en-IN"/>
        </w:rPr>
        <w:t>An Update on COVID19  from Etiopathogenesis ,to role in male infertility ,Pregnancy Lactation ,and Regarding treatment.2020;In press</w:t>
      </w:r>
    </w:p>
    <w:p w:rsidR="00A459C2" w:rsidRPr="00A459C2" w:rsidRDefault="00A459C2" w:rsidP="00A459C2">
      <w:pPr>
        <w:pStyle w:val="ListParagraph"/>
        <w:widowControl/>
        <w:numPr>
          <w:ilvl w:val="0"/>
          <w:numId w:val="1"/>
        </w:numPr>
        <w:spacing w:before="0" w:after="200" w:line="276" w:lineRule="auto"/>
        <w:contextualSpacing/>
        <w:jc w:val="left"/>
        <w:rPr>
          <w:rStyle w:val="A5"/>
          <w:rFonts w:cstheme="minorBidi"/>
          <w:i w:val="0"/>
          <w:iCs w:val="0"/>
          <w:sz w:val="22"/>
          <w:szCs w:val="22"/>
        </w:rPr>
      </w:pPr>
      <w:r w:rsidRPr="00B341DE">
        <w:t>Kulvinder Kochar Kaur,Allahbadia GN,Singh M.</w:t>
      </w:r>
      <w:r w:rsidRPr="00B341DE">
        <w:rPr>
          <w:b/>
          <w:lang w:val="en-IN"/>
        </w:rPr>
        <w:t xml:space="preserve"> </w:t>
      </w:r>
      <w:r w:rsidRPr="00B341DE">
        <w:rPr>
          <w:lang w:val="en-IN"/>
        </w:rPr>
        <w:t>Editorial-An update on management of severe COVID19presenting with Cytokine Release Syndrome responsible for most mortalities in COVID19.</w:t>
      </w:r>
      <w:r w:rsidRPr="00B341DE">
        <w:t xml:space="preserve"> 19’’</w:t>
      </w:r>
      <w:r w:rsidRPr="00B341DE">
        <w:rPr>
          <w:rStyle w:val="A5"/>
          <w:sz w:val="22"/>
          <w:szCs w:val="22"/>
        </w:rPr>
        <w:t>Acta Scientific Microbiology 2020;in press.</w:t>
      </w:r>
    </w:p>
    <w:p w:rsidR="00A459C2" w:rsidRPr="00A459C2" w:rsidRDefault="00A459C2" w:rsidP="00A459C2">
      <w:pPr>
        <w:pStyle w:val="ListParagraph"/>
        <w:numPr>
          <w:ilvl w:val="0"/>
          <w:numId w:val="1"/>
        </w:numPr>
      </w:pPr>
      <w:r w:rsidRPr="00B341DE">
        <w:t>Kulvinder Kochar Kaur,Allahbadia GN,Singh M.</w:t>
      </w:r>
      <w:r w:rsidRPr="00A459C2">
        <w:t>An update on the place of ART with SARS CoV2-around and influence on Both Reproduction ,transmission possibilities to  ,Progeny,Partners And Staff –What is the Answer’’</w:t>
      </w:r>
      <w:r>
        <w:t>-Under review with Longdom Publishers.</w:t>
      </w:r>
    </w:p>
    <w:p w:rsidR="00A459C2" w:rsidRPr="00A459C2" w:rsidRDefault="00A459C2" w:rsidP="00A459C2">
      <w:pPr>
        <w:pStyle w:val="ListParagraph"/>
        <w:widowControl/>
        <w:spacing w:before="0" w:after="200" w:line="276" w:lineRule="auto"/>
        <w:ind w:left="400" w:firstLine="0"/>
        <w:contextualSpacing/>
        <w:jc w:val="left"/>
        <w:rPr>
          <w:rStyle w:val="A5"/>
          <w:rFonts w:cstheme="minorBidi"/>
          <w:i w:val="0"/>
          <w:iCs w:val="0"/>
          <w:sz w:val="22"/>
          <w:szCs w:val="22"/>
        </w:rPr>
      </w:pPr>
    </w:p>
    <w:p w:rsidR="006B3217" w:rsidRPr="00194BF9" w:rsidRDefault="006B3217" w:rsidP="00A459C2">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 </w:t>
      </w:r>
    </w:p>
    <w:p w:rsidR="006B3217" w:rsidRPr="00194BF9" w:rsidRDefault="001741C4" w:rsidP="00194BF9">
      <w:pPr>
        <w:autoSpaceDE w:val="0"/>
        <w:autoSpaceDN w:val="0"/>
        <w:adjustRightInd w:val="0"/>
        <w:spacing w:line="240" w:lineRule="auto"/>
        <w:jc w:val="center"/>
        <w:rPr>
          <w:rFonts w:ascii="Times New Roman" w:eastAsia="Times New Roman" w:hAnsi="Times New Roman" w:cs="Times New Roman"/>
          <w:noProof/>
          <w:sz w:val="24"/>
          <w:szCs w:val="24"/>
        </w:rPr>
      </w:pPr>
      <w:r>
        <w:rPr>
          <w:rFonts w:ascii="Calibri"/>
          <w:noProof/>
          <w:sz w:val="24"/>
          <w:szCs w:val="24"/>
          <w:lang w:eastAsia="en-IN"/>
        </w:rPr>
        <mc:AlternateContent>
          <mc:Choice Requires="wpg">
            <w:drawing>
              <wp:inline distT="0" distB="0" distL="0" distR="0">
                <wp:extent cx="3975735" cy="25400"/>
                <wp:effectExtent l="8890" t="4445" r="6350" b="825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IIFMTGUCAABJ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6B3217" w:rsidRPr="00194BF9" w:rsidRDefault="00243522" w:rsidP="00194BF9">
      <w:pPr>
        <w:autoSpaceDE w:val="0"/>
        <w:autoSpaceDN w:val="0"/>
        <w:adjustRightInd w:val="0"/>
        <w:spacing w:line="240" w:lineRule="auto"/>
        <w:rPr>
          <w:rFonts w:ascii="Times New Roman" w:eastAsia="Times New Roman" w:hAnsi="Times New Roman" w:cs="Times New Roman"/>
          <w:noProof/>
          <w:sz w:val="24"/>
          <w:szCs w:val="24"/>
        </w:rPr>
      </w:pPr>
      <w:r>
        <w:rPr>
          <w:noProof/>
          <w:sz w:val="24"/>
          <w:szCs w:val="24"/>
          <w:lang w:eastAsia="en-IN"/>
        </w:rPr>
        <w:lastRenderedPageBreak/>
        <w:drawing>
          <wp:inline distT="0" distB="0" distL="0" distR="0">
            <wp:extent cx="6300470" cy="4723887"/>
            <wp:effectExtent l="19050" t="0" r="5080" b="0"/>
            <wp:docPr id="2" name="Picture 2" descr="C:\doc\CV,BIBLIO,Publons\100_0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CV,BIBLIO,Publons\100_0891.JPG"/>
                    <pic:cNvPicPr>
                      <a:picLocks noChangeAspect="1" noChangeArrowheads="1"/>
                    </pic:cNvPicPr>
                  </pic:nvPicPr>
                  <pic:blipFill>
                    <a:blip r:embed="rId6" cstate="print"/>
                    <a:srcRect/>
                    <a:stretch>
                      <a:fillRect/>
                    </a:stretch>
                  </pic:blipFill>
                  <pic:spPr bwMode="auto">
                    <a:xfrm>
                      <a:off x="0" y="0"/>
                      <a:ext cx="6300470" cy="4723887"/>
                    </a:xfrm>
                    <a:prstGeom prst="rect">
                      <a:avLst/>
                    </a:prstGeom>
                    <a:noFill/>
                    <a:ln w="9525">
                      <a:noFill/>
                      <a:miter lim="800000"/>
                      <a:headEnd/>
                      <a:tailEnd/>
                    </a:ln>
                  </pic:spPr>
                </pic:pic>
              </a:graphicData>
            </a:graphic>
          </wp:inline>
        </w:drawing>
      </w:r>
      <w:r w:rsidR="006B3217" w:rsidRPr="00194BF9">
        <w:rPr>
          <w:noProof/>
          <w:sz w:val="24"/>
          <w:szCs w:val="24"/>
          <w:lang w:eastAsia="en-IN"/>
        </w:rPr>
        <w:drawing>
          <wp:inline distT="0" distB="0" distL="0" distR="0">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sz w:val="24"/>
          <w:szCs w:val="24"/>
        </w:rPr>
        <w:t>(100 -200 words)</w:t>
      </w:r>
    </w:p>
    <w:p w:rsidR="00243522" w:rsidRPr="00194BF9" w:rsidRDefault="00243522" w:rsidP="00194BF9">
      <w:pPr>
        <w:autoSpaceDE w:val="0"/>
        <w:autoSpaceDN w:val="0"/>
        <w:adjustRightInd w:val="0"/>
        <w:spacing w:line="240" w:lineRule="auto"/>
        <w:rPr>
          <w:rFonts w:ascii="Times New Roman" w:eastAsia="Times New Roman" w:hAnsi="Times New Roman" w:cs="Times New Roman"/>
          <w:noProof/>
          <w:sz w:val="24"/>
          <w:szCs w:val="24"/>
        </w:rPr>
      </w:pPr>
      <w:r w:rsidRPr="00243522">
        <w:rPr>
          <w:rFonts w:ascii="Times New Roman" w:eastAsia="Times New Roman" w:hAnsi="Times New Roman" w:cs="Times New Roman"/>
          <w:noProof/>
          <w:sz w:val="24"/>
          <w:szCs w:val="24"/>
        </w:rPr>
        <w:object w:dxaOrig="8640" w:dyaOrig="4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07pt" o:ole="">
            <v:imagedata r:id="rId8" o:title=""/>
          </v:shape>
          <o:OLEObject Type="Embed" ProgID="Word.Document.12" ShapeID="_x0000_i1025" DrawAspect="Content" ObjectID="_1656398333" r:id="rId9"/>
        </w:objec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243522" w:rsidRPr="00194BF9" w:rsidRDefault="006B3217" w:rsidP="00243522">
      <w:pPr>
        <w:spacing w:after="0" w:line="240" w:lineRule="auto"/>
        <w:rPr>
          <w:rFonts w:ascii="Times New Roman" w:eastAsia="Tw Cen MT" w:hAnsi="Times New Roman" w:cs="Times New Roman"/>
          <w:b/>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243522">
        <w:rPr>
          <w:rFonts w:ascii="Times New Roman" w:eastAsia="Calibri" w:hAnsi="Times New Roman" w:cs="Times New Roman"/>
          <w:sz w:val="24"/>
          <w:szCs w:val="24"/>
          <w:lang w:val="en-US"/>
        </w:rPr>
        <w:t>Kulvinder Kochar Kaur</w:t>
      </w:r>
    </w:p>
    <w:p w:rsidR="00243522" w:rsidRPr="00194BF9" w:rsidRDefault="00243522" w:rsidP="00243522">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243522">
        <w:rPr>
          <w:rFonts w:ascii="Times New Roman" w:eastAsia="Calibri" w:hAnsi="Times New Roman" w:cs="Times New Roman"/>
          <w:sz w:val="24"/>
          <w:szCs w:val="24"/>
          <w:lang w:val="en-US"/>
        </w:rPr>
        <w:t>kulvinder.dr@gmail.com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E04318">
        <w:rPr>
          <w:rFonts w:ascii="Times New Roman" w:eastAsia="Calibri" w:hAnsi="Times New Roman" w:cs="Times New Roman"/>
          <w:sz w:val="24"/>
          <w:szCs w:val="24"/>
          <w:lang w:val="en-US"/>
        </w:rPr>
        <w:t>919501358180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E04318">
        <w:rPr>
          <w:rFonts w:ascii="Times New Roman" w:eastAsia="Calibri" w:hAnsi="Times New Roman" w:cs="Times New Roman"/>
          <w:sz w:val="24"/>
          <w:szCs w:val="24"/>
          <w:lang w:val="en-US"/>
        </w:rPr>
        <w:t>18/6/1959</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E04318">
        <w:rPr>
          <w:rFonts w:ascii="Times New Roman" w:eastAsia="Calibri" w:hAnsi="Times New Roman" w:cs="Times New Roman"/>
          <w:sz w:val="24"/>
          <w:szCs w:val="24"/>
          <w:lang w:val="en-US"/>
        </w:rPr>
        <w:t>Dr Kulvinder</w:t>
      </w:r>
      <w:r w:rsidR="00E04318" w:rsidRPr="00E04318">
        <w:rPr>
          <w:rFonts w:ascii="Times New Roman" w:eastAsia="Calibri" w:hAnsi="Times New Roman" w:cs="Times New Roman"/>
          <w:sz w:val="24"/>
          <w:szCs w:val="24"/>
          <w:lang w:val="en-US"/>
        </w:rPr>
        <w:t xml:space="preserve"> </w:t>
      </w:r>
      <w:r w:rsidR="00E04318">
        <w:rPr>
          <w:rFonts w:ascii="Times New Roman" w:eastAsia="Calibri" w:hAnsi="Times New Roman" w:cs="Times New Roman"/>
          <w:sz w:val="24"/>
          <w:szCs w:val="24"/>
          <w:lang w:val="en-US"/>
        </w:rPr>
        <w:t>KaurCenter for Human Reproduction</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00E04318" w:rsidRPr="00194BF9">
        <w:rPr>
          <w:rFonts w:ascii="Times New Roman" w:eastAsia="Calibri" w:hAnsi="Times New Roman" w:cs="Times New Roman"/>
          <w:sz w:val="24"/>
          <w:szCs w:val="24"/>
          <w:lang w:val="en-US"/>
        </w:rPr>
        <w:t xml:space="preserve"> </w:t>
      </w:r>
      <w:r w:rsidR="00E04318">
        <w:rPr>
          <w:rFonts w:ascii="Times New Roman" w:eastAsia="Calibri" w:hAnsi="Times New Roman" w:cs="Times New Roman"/>
          <w:sz w:val="24"/>
          <w:szCs w:val="24"/>
          <w:lang w:val="en-US"/>
        </w:rPr>
        <w:t>kulvinder.dr@gmail.com</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abonLTStd-Roman">
    <w:panose1 w:val="00000000000000000000"/>
    <w:charset w:val="00"/>
    <w:family w:val="roman"/>
    <w:notTrueType/>
    <w:pitch w:val="default"/>
    <w:sig w:usb0="00000003" w:usb1="00000000" w:usb2="00000000" w:usb3="00000000" w:csb0="00000001" w:csb1="00000000"/>
  </w:font>
  <w:font w:name="HelveticaNeueLTStd-Hv">
    <w:panose1 w:val="00000000000000000000"/>
    <w:charset w:val="00"/>
    <w:family w:val="swiss"/>
    <w:notTrueType/>
    <w:pitch w:val="default"/>
    <w:sig w:usb0="00000003" w:usb1="00000000" w:usb2="00000000" w:usb3="00000000" w:csb0="00000001" w:csb1="00000000"/>
  </w:font>
  <w:font w:name="AdvTT0eeac7f7.B">
    <w:panose1 w:val="00000000000000000000"/>
    <w:charset w:val="00"/>
    <w:family w:val="roman"/>
    <w:notTrueType/>
    <w:pitch w:val="default"/>
    <w:sig w:usb0="00000003" w:usb1="00000000" w:usb2="00000000" w:usb3="00000000" w:csb0="00000001" w:csb1="00000000"/>
  </w:font>
  <w:font w:name="AdvTT08640291">
    <w:panose1 w:val="00000000000000000000"/>
    <w:charset w:val="00"/>
    <w:family w:val="roman"/>
    <w:notTrueType/>
    <w:pitch w:val="default"/>
    <w:sig w:usb0="00000003" w:usb1="00000000" w:usb2="00000000" w:usb3="00000000" w:csb0="00000001" w:csb1="00000000"/>
  </w:font>
  <w:font w:name="AdvTT0eeac7f7.B+fb">
    <w:panose1 w:val="00000000000000000000"/>
    <w:charset w:val="00"/>
    <w:family w:val="auto"/>
    <w:notTrueType/>
    <w:pitch w:val="default"/>
    <w:sig w:usb0="00000003" w:usb1="00000000" w:usb2="00000000" w:usb3="00000000" w:csb0="00000001" w:csb1="00000000"/>
  </w:font>
  <w:font w:name="AdvTT08640291+fb">
    <w:panose1 w:val="00000000000000000000"/>
    <w:charset w:val="00"/>
    <w:family w:val="auto"/>
    <w:notTrueType/>
    <w:pitch w:val="default"/>
    <w:sig w:usb0="00000003" w:usb1="00000000" w:usb2="00000000" w:usb3="00000000" w:csb0="00000001" w:csb1="00000000"/>
  </w:font>
  <w:font w:name="AdvPSA88A">
    <w:panose1 w:val="00000000000000000000"/>
    <w:charset w:val="00"/>
    <w:family w:val="roman"/>
    <w:notTrueType/>
    <w:pitch w:val="default"/>
    <w:sig w:usb0="00000003" w:usb1="00000000" w:usb2="00000000" w:usb3="00000000" w:csb0="00000001" w:csb1="00000000"/>
  </w:font>
  <w:font w:name="AdvPSGLR">
    <w:panose1 w:val="00000000000000000000"/>
    <w:charset w:val="00"/>
    <w:family w:val="roman"/>
    <w:notTrueType/>
    <w:pitch w:val="default"/>
    <w:sig w:usb0="00000003" w:usb1="00000000" w:usb2="00000000" w:usb3="00000000" w:csb0="00000001" w:csb1="00000000"/>
  </w:font>
  <w:font w:name="AdvTT1875e499">
    <w:panose1 w:val="00000000000000000000"/>
    <w:charset w:val="00"/>
    <w:family w:val="swiss"/>
    <w:notTrueType/>
    <w:pitch w:val="default"/>
    <w:sig w:usb0="00000003" w:usb1="00000000" w:usb2="00000000" w:usb3="00000000" w:csb0="00000001" w:csb1="00000000"/>
  </w:font>
  <w:font w:name="AdvGSANS-B">
    <w:panose1 w:val="00000000000000000000"/>
    <w:charset w:val="00"/>
    <w:family w:val="swiss"/>
    <w:notTrueType/>
    <w:pitch w:val="default"/>
    <w:sig w:usb0="00000003" w:usb1="00000000" w:usb2="00000000" w:usb3="00000000" w:csb0="00000001" w:csb1="00000000"/>
  </w:font>
  <w:font w:name="XhmlhvZapfHumanist601BT-Demi">
    <w:panose1 w:val="00000000000000000000"/>
    <w:charset w:val="00"/>
    <w:family w:val="roman"/>
    <w:notTrueType/>
    <w:pitch w:val="default"/>
    <w:sig w:usb0="00000003" w:usb1="00000000" w:usb2="00000000" w:usb3="00000000" w:csb0="00000001" w:csb1="00000000"/>
  </w:font>
  <w:font w:name="AdvPSA183">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C0F0E"/>
    <w:multiLevelType w:val="hybridMultilevel"/>
    <w:tmpl w:val="8D7A1BAE"/>
    <w:lvl w:ilvl="0" w:tplc="84E4B260">
      <w:start w:val="1"/>
      <w:numFmt w:val="decimal"/>
      <w:lvlText w:val="%1-"/>
      <w:lvlJc w:val="left"/>
      <w:pPr>
        <w:ind w:left="720" w:hanging="360"/>
      </w:pPr>
      <w:rPr>
        <w:rFonts w:ascii="Times New Roman" w:eastAsia="Calibri"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F017DB"/>
    <w:multiLevelType w:val="hybridMultilevel"/>
    <w:tmpl w:val="636EE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C4C2A"/>
    <w:rsid w:val="000E3617"/>
    <w:rsid w:val="00155B14"/>
    <w:rsid w:val="001741C4"/>
    <w:rsid w:val="001753E4"/>
    <w:rsid w:val="00194BF9"/>
    <w:rsid w:val="00243522"/>
    <w:rsid w:val="00292C5D"/>
    <w:rsid w:val="00375B3D"/>
    <w:rsid w:val="0046369B"/>
    <w:rsid w:val="0051553E"/>
    <w:rsid w:val="00607A26"/>
    <w:rsid w:val="00632671"/>
    <w:rsid w:val="00676597"/>
    <w:rsid w:val="006B3217"/>
    <w:rsid w:val="007D1514"/>
    <w:rsid w:val="009C72EB"/>
    <w:rsid w:val="00A12A6B"/>
    <w:rsid w:val="00A459C2"/>
    <w:rsid w:val="00AF2CF0"/>
    <w:rsid w:val="00DF560E"/>
    <w:rsid w:val="00E04318"/>
    <w:rsid w:val="00FA08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customStyle="1" w:styleId="Default">
    <w:name w:val="Default"/>
    <w:rsid w:val="00A459C2"/>
    <w:pPr>
      <w:autoSpaceDE w:val="0"/>
      <w:autoSpaceDN w:val="0"/>
      <w:adjustRightInd w:val="0"/>
      <w:spacing w:after="0" w:line="240" w:lineRule="auto"/>
    </w:pPr>
    <w:rPr>
      <w:rFonts w:ascii="Myriad Pro" w:hAnsi="Myriad Pro" w:cs="Myriad Pro"/>
      <w:color w:val="000000"/>
      <w:sz w:val="24"/>
      <w:szCs w:val="24"/>
      <w:lang w:val="en-US"/>
    </w:rPr>
  </w:style>
  <w:style w:type="paragraph" w:customStyle="1" w:styleId="Pa1">
    <w:name w:val="Pa1"/>
    <w:basedOn w:val="Default"/>
    <w:next w:val="Default"/>
    <w:uiPriority w:val="99"/>
    <w:rsid w:val="00A459C2"/>
    <w:pPr>
      <w:spacing w:line="181" w:lineRule="atLeast"/>
    </w:pPr>
    <w:rPr>
      <w:rFonts w:cstheme="minorBidi"/>
      <w:color w:val="auto"/>
    </w:rPr>
  </w:style>
  <w:style w:type="character" w:customStyle="1" w:styleId="A5">
    <w:name w:val="A5"/>
    <w:uiPriority w:val="99"/>
    <w:rsid w:val="00A459C2"/>
    <w:rPr>
      <w:rFonts w:cs="Cambria"/>
      <w:i/>
      <w:i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customStyle="1" w:styleId="Default">
    <w:name w:val="Default"/>
    <w:rsid w:val="00A459C2"/>
    <w:pPr>
      <w:autoSpaceDE w:val="0"/>
      <w:autoSpaceDN w:val="0"/>
      <w:adjustRightInd w:val="0"/>
      <w:spacing w:after="0" w:line="240" w:lineRule="auto"/>
    </w:pPr>
    <w:rPr>
      <w:rFonts w:ascii="Myriad Pro" w:hAnsi="Myriad Pro" w:cs="Myriad Pro"/>
      <w:color w:val="000000"/>
      <w:sz w:val="24"/>
      <w:szCs w:val="24"/>
      <w:lang w:val="en-US"/>
    </w:rPr>
  </w:style>
  <w:style w:type="paragraph" w:customStyle="1" w:styleId="Pa1">
    <w:name w:val="Pa1"/>
    <w:basedOn w:val="Default"/>
    <w:next w:val="Default"/>
    <w:uiPriority w:val="99"/>
    <w:rsid w:val="00A459C2"/>
    <w:pPr>
      <w:spacing w:line="181" w:lineRule="atLeast"/>
    </w:pPr>
    <w:rPr>
      <w:rFonts w:cstheme="minorBidi"/>
      <w:color w:val="auto"/>
    </w:rPr>
  </w:style>
  <w:style w:type="character" w:customStyle="1" w:styleId="A5">
    <w:name w:val="A5"/>
    <w:uiPriority w:val="99"/>
    <w:rsid w:val="00A459C2"/>
    <w:rPr>
      <w:rFonts w:cs="Cambria"/>
      <w:i/>
      <w:i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Word_Document1.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2020-07-16T04:22:00Z</dcterms:created>
  <dcterms:modified xsi:type="dcterms:W3CDTF">2020-07-16T04:22:00Z</dcterms:modified>
</cp:coreProperties>
</file>