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5D30" w:rsidRPr="00C146D4" w:rsidRDefault="00B55D30" w:rsidP="00EC6991">
      <w:pPr>
        <w:autoSpaceDE w:val="0"/>
        <w:autoSpaceDN w:val="0"/>
        <w:bidi w:val="0"/>
        <w:adjustRightInd w:val="0"/>
        <w:spacing w:after="0"/>
        <w:ind w:left="-1134" w:right="-1050"/>
        <w:jc w:val="center"/>
        <w:rPr>
          <w:rStyle w:val="Strong"/>
          <w:sz w:val="28"/>
          <w:szCs w:val="28"/>
        </w:rPr>
      </w:pPr>
      <w:r w:rsidRPr="00C146D4">
        <w:rPr>
          <w:rStyle w:val="Strong"/>
          <w:sz w:val="28"/>
          <w:szCs w:val="28"/>
        </w:rPr>
        <w:t>Predictive Factors That Determine Response to Transarterial Chemoembolization in Patients with Hepatocellular Carcinoma</w:t>
      </w:r>
    </w:p>
    <w:p w:rsidR="00B55D30" w:rsidRPr="00C146D4" w:rsidRDefault="00B55D30" w:rsidP="00EC6991">
      <w:pPr>
        <w:autoSpaceDE w:val="0"/>
        <w:autoSpaceDN w:val="0"/>
        <w:bidi w:val="0"/>
        <w:adjustRightInd w:val="0"/>
        <w:spacing w:after="0" w:line="240" w:lineRule="auto"/>
        <w:ind w:left="-1134" w:right="-1050"/>
        <w:rPr>
          <w:rStyle w:val="Strong"/>
          <w:sz w:val="24"/>
          <w:szCs w:val="24"/>
        </w:rPr>
      </w:pPr>
    </w:p>
    <w:p w:rsidR="00B55D30" w:rsidRDefault="00B55D30" w:rsidP="00EC6991">
      <w:pPr>
        <w:ind w:left="-1134" w:right="-1050"/>
        <w:jc w:val="both"/>
        <w:rPr>
          <w:rStyle w:val="Strong"/>
          <w:rFonts w:hint="cs"/>
          <w:rtl/>
          <w:lang w:bidi="ar-EG"/>
        </w:rPr>
      </w:pPr>
      <w:r>
        <w:rPr>
          <w:rStyle w:val="Strong"/>
        </w:rPr>
        <w:t xml:space="preserve">    </w:t>
      </w:r>
    </w:p>
    <w:p w:rsidR="00A9130E" w:rsidRDefault="00B55D30" w:rsidP="00127984">
      <w:pPr>
        <w:ind w:left="-1134" w:right="-1050"/>
        <w:jc w:val="right"/>
      </w:pPr>
      <w:r w:rsidRPr="00B55D30">
        <w:rPr>
          <w:rStyle w:val="Strong"/>
          <w:sz w:val="28"/>
          <w:szCs w:val="28"/>
        </w:rPr>
        <w:t xml:space="preserve">   Introduction</w:t>
      </w:r>
      <w:r w:rsidRPr="00B55D30">
        <w:rPr>
          <w:rStyle w:val="Strong"/>
        </w:rPr>
        <w:t>:</w:t>
      </w:r>
      <w:r w:rsidR="00127984">
        <w:rPr>
          <w:rStyle w:val="Strong"/>
        </w:rPr>
        <w:t xml:space="preserve">  </w:t>
      </w:r>
      <w:r w:rsidRPr="00B55D30">
        <w:rPr>
          <w:rStyle w:val="Strong"/>
        </w:rPr>
        <w:t xml:space="preserve">  </w:t>
      </w:r>
      <w:r>
        <w:rPr>
          <w:rStyle w:val="Strong"/>
        </w:rPr>
        <w:t xml:space="preserve">           </w:t>
      </w:r>
      <w:r w:rsidRPr="00B55D30">
        <w:rPr>
          <w:rStyle w:val="Strong"/>
        </w:rPr>
        <w:t xml:space="preserve">                                                                                                                                             </w:t>
      </w:r>
      <w:r w:rsidR="006D29D4">
        <w:rPr>
          <w:rStyle w:val="Strong"/>
        </w:rPr>
        <w:t xml:space="preserve">             </w:t>
      </w:r>
      <w:r w:rsidR="00127984">
        <w:rPr>
          <w:rStyle w:val="Strong"/>
        </w:rPr>
        <w:t xml:space="preserve">                     </w:t>
      </w:r>
      <w:r w:rsidR="00A9130E">
        <w:rPr>
          <w:rStyle w:val="Strong"/>
        </w:rPr>
        <w:t>Hepatocellular carcioma</w:t>
      </w:r>
      <w:r w:rsidR="00A9130E">
        <w:t xml:space="preserve"> is one of the leading causes of cancer deaths worldwide. </w:t>
      </w:r>
      <w:r w:rsidR="00A9130E">
        <w:rPr>
          <w:rStyle w:val="Strong"/>
        </w:rPr>
        <w:t>Transarterial chemo</w:t>
      </w:r>
      <w:r w:rsidR="00127984">
        <w:rPr>
          <w:rStyle w:val="Strong"/>
        </w:rPr>
        <w:t>-</w:t>
      </w:r>
      <w:r w:rsidR="00A9130E">
        <w:rPr>
          <w:rStyle w:val="Strong"/>
        </w:rPr>
        <w:t xml:space="preserve">embolization (TACE) </w:t>
      </w:r>
      <w:r w:rsidR="00A9130E">
        <w:t xml:space="preserve">is a standard therapy for intermediate stage of liver cancer. It is associated with higher survival than supportive care. However, It may have a risk  of mortality and morbidity. Many factors other than radiological response determine TACE outcomes. </w:t>
      </w:r>
      <w:r w:rsidR="00A9130E" w:rsidRPr="00127984">
        <w:rPr>
          <w:b/>
          <w:bCs/>
        </w:rPr>
        <w:t>The aim</w:t>
      </w:r>
      <w:r w:rsidR="00A9130E">
        <w:t xml:space="preserve"> is to </w:t>
      </w:r>
      <w:r w:rsidR="00127984">
        <w:t xml:space="preserve"> </w:t>
      </w:r>
      <w:r w:rsidR="00A9130E">
        <w:t>analyze</w:t>
      </w:r>
      <w:r w:rsidR="00127984">
        <w:t xml:space="preserve"> </w:t>
      </w:r>
      <w:r w:rsidR="00A9130E">
        <w:t xml:space="preserve"> the</w:t>
      </w:r>
      <w:r w:rsidR="00127984">
        <w:t xml:space="preserve"> </w:t>
      </w:r>
      <w:r w:rsidR="00A9130E">
        <w:t xml:space="preserve"> outcomes</w:t>
      </w:r>
      <w:r w:rsidR="00127984">
        <w:t xml:space="preserve"> </w:t>
      </w:r>
      <w:r w:rsidR="00A9130E">
        <w:t xml:space="preserve"> after</w:t>
      </w:r>
      <w:r w:rsidR="00127984">
        <w:t xml:space="preserve"> </w:t>
      </w:r>
      <w:r w:rsidR="00A9130E">
        <w:t xml:space="preserve"> TACE </w:t>
      </w:r>
      <w:r w:rsidR="00127984">
        <w:t xml:space="preserve"> </w:t>
      </w:r>
      <w:r w:rsidR="00A9130E">
        <w:t>comparing</w:t>
      </w:r>
      <w:r w:rsidR="00127984">
        <w:t xml:space="preserve"> </w:t>
      </w:r>
      <w:r w:rsidR="00A9130E">
        <w:t xml:space="preserve"> with </w:t>
      </w:r>
      <w:r w:rsidR="00127984">
        <w:t xml:space="preserve"> </w:t>
      </w:r>
      <w:r w:rsidR="00A9130E">
        <w:t>different radiological responses.</w:t>
      </w:r>
      <w:r>
        <w:t xml:space="preserve">                                                                                                                   </w:t>
      </w:r>
    </w:p>
    <w:p w:rsidR="00A9130E" w:rsidRDefault="00A9130E" w:rsidP="00EC6991">
      <w:pPr>
        <w:ind w:left="-1134" w:right="-1050"/>
        <w:jc w:val="both"/>
        <w:rPr>
          <w:rFonts w:hint="cs"/>
          <w:rtl/>
          <w:lang w:bidi="ar-EG"/>
        </w:rPr>
      </w:pPr>
    </w:p>
    <w:p w:rsidR="00B55D30" w:rsidRDefault="00B55D30" w:rsidP="00EC6991">
      <w:pPr>
        <w:ind w:left="-1134" w:right="-1050"/>
        <w:jc w:val="both"/>
        <w:rPr>
          <w:lang w:bidi="ar-EG"/>
        </w:rPr>
      </w:pPr>
      <w:r>
        <w:rPr>
          <w:rStyle w:val="Strong"/>
          <w:sz w:val="28"/>
          <w:szCs w:val="28"/>
        </w:rPr>
        <w:t xml:space="preserve">Methods:                                                                                                                                             </w:t>
      </w:r>
    </w:p>
    <w:p w:rsidR="001B6596" w:rsidRDefault="00A9130E" w:rsidP="00EC6991">
      <w:pPr>
        <w:ind w:left="-1134" w:right="-1050"/>
        <w:jc w:val="both"/>
      </w:pPr>
      <w:r>
        <w:t xml:space="preserve">Sixty two patients who underwent transarterial chemoembolizaton were subjected to clinical examination, laboratory investigations, triphasic abdominal CT with contrast, and evaluation of Child Pugh score, </w:t>
      </w:r>
      <w:r w:rsidR="00C146D4">
        <w:t>M</w:t>
      </w:r>
      <w:r>
        <w:t xml:space="preserve">odel </w:t>
      </w:r>
      <w:r w:rsidR="00C146D4">
        <w:t>f</w:t>
      </w:r>
      <w:r>
        <w:t xml:space="preserve">or </w:t>
      </w:r>
      <w:r w:rsidR="00C146D4">
        <w:t>E</w:t>
      </w:r>
      <w:r>
        <w:t xml:space="preserve">nd </w:t>
      </w:r>
      <w:r w:rsidR="00C146D4">
        <w:t>Stage L</w:t>
      </w:r>
      <w:r>
        <w:t xml:space="preserve">iver </w:t>
      </w:r>
      <w:r w:rsidR="00C146D4">
        <w:t>D</w:t>
      </w:r>
      <w:r>
        <w:t xml:space="preserve">isease, and </w:t>
      </w:r>
      <w:r w:rsidR="00C146D4">
        <w:t>B</w:t>
      </w:r>
      <w:r>
        <w:t xml:space="preserve">arcelona </w:t>
      </w:r>
      <w:r w:rsidR="00C146D4">
        <w:t>C</w:t>
      </w:r>
      <w:r>
        <w:t xml:space="preserve">linic </w:t>
      </w:r>
      <w:r w:rsidR="00C146D4">
        <w:t>L</w:t>
      </w:r>
      <w:r>
        <w:t xml:space="preserve">iver </w:t>
      </w:r>
      <w:r w:rsidR="00C146D4">
        <w:t>C</w:t>
      </w:r>
      <w:r>
        <w:t xml:space="preserve">ancer </w:t>
      </w:r>
      <w:r w:rsidR="00C146D4">
        <w:t>S</w:t>
      </w:r>
      <w:r>
        <w:t xml:space="preserve">taging before and one month after therapy. Tumor response according to </w:t>
      </w:r>
      <w:r w:rsidR="00C146D4">
        <w:t>M</w:t>
      </w:r>
      <w:r>
        <w:t>odified response evaluation criteria in solid tumors was calculated by one radiologist. Patients were followed up for six months or till death. Statistical analysis including regression and survival analysis were performed.</w:t>
      </w:r>
      <w:r w:rsidR="001B6596">
        <w:t xml:space="preserve">                                                                                                                                                           </w:t>
      </w:r>
      <w:r w:rsidR="00B55D30">
        <w:t xml:space="preserve"> </w:t>
      </w:r>
    </w:p>
    <w:p w:rsidR="00A9130E" w:rsidRDefault="00B55D30" w:rsidP="00EC6991">
      <w:pPr>
        <w:ind w:left="-1134" w:right="-1050"/>
        <w:jc w:val="both"/>
      </w:pPr>
      <w:r>
        <w:t xml:space="preserve">                                                                                                                                                           </w:t>
      </w:r>
    </w:p>
    <w:p w:rsidR="00B55D30" w:rsidRDefault="00B55D30" w:rsidP="00EC6991">
      <w:pPr>
        <w:ind w:left="-1134" w:right="-1050"/>
        <w:jc w:val="both"/>
        <w:rPr>
          <w:lang w:bidi="ar-EG"/>
        </w:rPr>
      </w:pPr>
      <w:r>
        <w:rPr>
          <w:rStyle w:val="Strong"/>
          <w:sz w:val="28"/>
          <w:szCs w:val="28"/>
        </w:rPr>
        <w:t xml:space="preserve">Results:                                                                                                                                                </w:t>
      </w:r>
    </w:p>
    <w:p w:rsidR="00C146D4" w:rsidRDefault="00221AD6" w:rsidP="00EC6991">
      <w:pPr>
        <w:ind w:left="-1134" w:right="-1050"/>
        <w:jc w:val="both"/>
        <w:rPr>
          <w:rStyle w:val="Strong"/>
        </w:rPr>
      </w:pPr>
      <w:r>
        <w:t xml:space="preserve">Study was carried out on 62 Egyptian patients over a two year period between July 2014 and July 2016. These patients had hepatocellular carcinoma and underwent transareterial chemembolization (TACE). </w:t>
      </w:r>
      <w:r>
        <w:rPr>
          <w:rStyle w:val="Strong"/>
        </w:rPr>
        <w:t>As regard to Modified response criteria in solid tumors:</w:t>
      </w:r>
      <w:r>
        <w:t xml:space="preserve"> 25 patients (40.3%) showed complete response,15 patients (24.2 %) showed partial response, 2 patients (3.2%) showed stable disease, and 20  patients (32.3%) showed progressive disease</w:t>
      </w:r>
      <w:r w:rsidR="00632BA7">
        <w:t xml:space="preserve"> </w:t>
      </w:r>
      <w:r w:rsidR="00632BA7" w:rsidRPr="001B6596">
        <w:rPr>
          <w:b/>
          <w:bCs/>
        </w:rPr>
        <w:t>(Figure 1)</w:t>
      </w:r>
      <w:r w:rsidRPr="001B6596">
        <w:rPr>
          <w:rStyle w:val="Strong"/>
          <w:b w:val="0"/>
          <w:bCs w:val="0"/>
        </w:rPr>
        <w:t>.</w:t>
      </w:r>
      <w:r w:rsidR="00C146D4">
        <w:rPr>
          <w:rStyle w:val="Strong"/>
        </w:rPr>
        <w:t xml:space="preserve">  </w:t>
      </w:r>
      <w:r w:rsidR="00127984">
        <w:rPr>
          <w:rStyle w:val="Strong"/>
        </w:rPr>
        <w:t xml:space="preserve">         </w:t>
      </w:r>
      <w:r w:rsidR="00C146D4">
        <w:rPr>
          <w:rStyle w:val="Strong"/>
        </w:rPr>
        <w:t xml:space="preserve">                                                                                                                                                                      </w:t>
      </w:r>
      <w:r>
        <w:rPr>
          <w:rStyle w:val="Strong"/>
        </w:rPr>
        <w:t xml:space="preserve"> </w:t>
      </w:r>
    </w:p>
    <w:p w:rsidR="00C146D4" w:rsidRDefault="00C146D4" w:rsidP="00EC6991">
      <w:pPr>
        <w:ind w:left="-1134" w:right="-1050"/>
        <w:jc w:val="both"/>
        <w:rPr>
          <w:rStyle w:val="Strong"/>
        </w:rPr>
      </w:pPr>
      <w:r>
        <w:rPr>
          <w:rStyle w:val="Strong"/>
        </w:rPr>
        <w:t xml:space="preserve">      </w:t>
      </w:r>
      <w:r w:rsidR="00221AD6">
        <w:rPr>
          <w:rStyle w:val="Strong"/>
        </w:rPr>
        <w:t xml:space="preserve">As regard decompensation after TACE </w:t>
      </w:r>
      <w:r w:rsidR="00221AD6">
        <w:t>(which was considered as increase Child pugh score one or more than the score before TACE), 36 patients (58%) had decompensation, and 26 patients(42%) did not</w:t>
      </w:r>
      <w:r w:rsidR="00632BA7">
        <w:t xml:space="preserve"> </w:t>
      </w:r>
      <w:r w:rsidR="00632BA7" w:rsidRPr="001B6596">
        <w:rPr>
          <w:b/>
          <w:bCs/>
        </w:rPr>
        <w:t>(Figure 2)</w:t>
      </w:r>
      <w:r w:rsidR="00221AD6" w:rsidRPr="001B6596">
        <w:rPr>
          <w:b/>
          <w:bCs/>
        </w:rPr>
        <w:t>.</w:t>
      </w:r>
      <w:r w:rsidR="00127984">
        <w:rPr>
          <w:b/>
          <w:bCs/>
        </w:rPr>
        <w:t xml:space="preserve">                 </w:t>
      </w:r>
      <w:r w:rsidRPr="001B6596">
        <w:rPr>
          <w:b/>
          <w:bCs/>
        </w:rPr>
        <w:t xml:space="preserve">  </w:t>
      </w:r>
      <w:r>
        <w:t xml:space="preserve">          </w:t>
      </w:r>
      <w:r w:rsidR="00221AD6">
        <w:t xml:space="preserve"> </w:t>
      </w:r>
    </w:p>
    <w:p w:rsidR="00127984" w:rsidRDefault="00C146D4" w:rsidP="00EC6991">
      <w:pPr>
        <w:ind w:left="-1134" w:right="-1050"/>
        <w:jc w:val="both"/>
        <w:rPr>
          <w:b/>
          <w:bCs/>
        </w:rPr>
      </w:pPr>
      <w:r>
        <w:rPr>
          <w:rStyle w:val="Strong"/>
        </w:rPr>
        <w:t xml:space="preserve">     </w:t>
      </w:r>
      <w:r w:rsidR="00221AD6">
        <w:rPr>
          <w:rStyle w:val="Strong"/>
        </w:rPr>
        <w:t>As regard 6 month survival,</w:t>
      </w:r>
      <w:r w:rsidR="00221AD6">
        <w:t xml:space="preserve"> 11 (17.7%) of 62 patients died within 6 months follow up after TACE. The cumulative proportion of surviving was 82%</w:t>
      </w:r>
      <w:r>
        <w:t xml:space="preserve"> </w:t>
      </w:r>
      <w:r w:rsidRPr="001B6596">
        <w:rPr>
          <w:b/>
          <w:bCs/>
        </w:rPr>
        <w:t>(Figure 3a, b)</w:t>
      </w:r>
      <w:r w:rsidR="00221AD6" w:rsidRPr="001B6596">
        <w:rPr>
          <w:b/>
          <w:bCs/>
        </w:rPr>
        <w:t xml:space="preserve">. </w:t>
      </w:r>
      <w:r w:rsidR="00221AD6">
        <w:t>Significant difference was detected in patients with different radiological responses as regard tumor criteria (size, invasion of portal vein, Barcelona Clinic Lliver Cancer stage, and technique of TACE; (superselective and selective))</w:t>
      </w:r>
      <w:r w:rsidR="00632BA7">
        <w:t xml:space="preserve"> </w:t>
      </w:r>
      <w:r w:rsidR="00632BA7" w:rsidRPr="001B6596">
        <w:rPr>
          <w:b/>
          <w:bCs/>
        </w:rPr>
        <w:t>(Table 1)</w:t>
      </w:r>
      <w:r w:rsidR="00221AD6" w:rsidRPr="001B6596">
        <w:rPr>
          <w:b/>
          <w:bCs/>
        </w:rPr>
        <w:t>.</w:t>
      </w:r>
      <w:r w:rsidR="00127984">
        <w:rPr>
          <w:b/>
          <w:bCs/>
        </w:rPr>
        <w:t xml:space="preserve">                                                                                                      </w:t>
      </w:r>
      <w:r w:rsidRPr="001B6596">
        <w:rPr>
          <w:b/>
          <w:bCs/>
        </w:rPr>
        <w:t xml:space="preserve"> </w:t>
      </w:r>
    </w:p>
    <w:p w:rsidR="00C146D4" w:rsidRDefault="00C146D4" w:rsidP="00EC6991">
      <w:pPr>
        <w:ind w:left="-1134" w:right="-1050"/>
        <w:jc w:val="both"/>
      </w:pPr>
      <w:r w:rsidRPr="001B6596">
        <w:rPr>
          <w:b/>
          <w:bCs/>
        </w:rPr>
        <w:t xml:space="preserve"> </w:t>
      </w:r>
      <w:r>
        <w:t xml:space="preserve">   </w:t>
      </w:r>
      <w:r w:rsidR="00127984">
        <w:t xml:space="preserve">                                         </w:t>
      </w:r>
      <w:r>
        <w:t xml:space="preserve">                                                        </w:t>
      </w:r>
      <w:r w:rsidR="00221AD6">
        <w:t xml:space="preserve"> </w:t>
      </w:r>
    </w:p>
    <w:p w:rsidR="001B6596" w:rsidRDefault="00C146D4" w:rsidP="00EC6991">
      <w:pPr>
        <w:ind w:left="-1134" w:right="-1050"/>
        <w:jc w:val="both"/>
      </w:pPr>
      <w:r>
        <w:t xml:space="preserve">    </w:t>
      </w:r>
      <w:r w:rsidR="00221AD6">
        <w:t xml:space="preserve">Size of lesions (two dimensions) (40.87 cm2) is predictive of progressive disease with sensitivity 55%, specifity 83.3% and positive predictive value 61.1%. High Child Pugh score, left lobe tumors, heterogenous enhanced lesions, serum bilirubin: (cut off value 1.45 mg/dl, sensitivity 38.9%, specifity 88.5 %, and positive predictive value 82%), AST level: ( cut off value 77.5 IU/L, sensitivity 36.1%, specifity 96.2%, and positive predictive; value 93%), INR ( cut off value 1.2, sensitivity 61.1%, specifity 92.3%, and positive predictive value 92%), Model for End Stage Liver Disease </w:t>
      </w:r>
      <w:r w:rsidR="00221AD6">
        <w:lastRenderedPageBreak/>
        <w:t>(MELD) (cut off value 8.5, sensitivity 80.6%, specifity 73.1%, and positive predictive value 80.6%), and Low platelet count (cut off value 80x</w:t>
      </w:r>
      <w:r w:rsidR="00221AD6">
        <w:rPr>
          <w:rStyle w:val="Strong"/>
        </w:rPr>
        <w:t>109/L</w:t>
      </w:r>
      <w:r w:rsidR="00221AD6">
        <w:t>, sensitivity 33.3%, specifity 96.2%, and positive predictive value 92.3%) were detected to be associated with decompensation after TACE</w:t>
      </w:r>
      <w:r w:rsidR="00632BA7">
        <w:t xml:space="preserve"> </w:t>
      </w:r>
      <w:r w:rsidR="00632BA7" w:rsidRPr="001B6596">
        <w:rPr>
          <w:b/>
          <w:bCs/>
        </w:rPr>
        <w:t>(Table 2</w:t>
      </w:r>
      <w:r w:rsidRPr="001B6596">
        <w:rPr>
          <w:b/>
          <w:bCs/>
        </w:rPr>
        <w:t>a, b</w:t>
      </w:r>
      <w:r w:rsidR="00632BA7" w:rsidRPr="001B6596">
        <w:rPr>
          <w:b/>
          <w:bCs/>
        </w:rPr>
        <w:t>)</w:t>
      </w:r>
      <w:r w:rsidR="00221AD6" w:rsidRPr="001B6596">
        <w:rPr>
          <w:b/>
          <w:bCs/>
        </w:rPr>
        <w:t>.</w:t>
      </w:r>
      <w:r w:rsidR="001B6596" w:rsidRPr="001B6596">
        <w:rPr>
          <w:b/>
          <w:bCs/>
        </w:rPr>
        <w:t xml:space="preserve">  </w:t>
      </w:r>
      <w:r w:rsidR="00127984">
        <w:rPr>
          <w:b/>
          <w:bCs/>
        </w:rPr>
        <w:t xml:space="preserve">                                                                                </w:t>
      </w:r>
      <w:r w:rsidR="001B6596" w:rsidRPr="001B6596">
        <w:rPr>
          <w:b/>
          <w:bCs/>
        </w:rPr>
        <w:t xml:space="preserve"> </w:t>
      </w:r>
      <w:r w:rsidR="001B6596">
        <w:t xml:space="preserve">            </w:t>
      </w:r>
      <w:r w:rsidR="00221AD6">
        <w:t xml:space="preserve"> </w:t>
      </w:r>
    </w:p>
    <w:p w:rsidR="001B6596" w:rsidRPr="00127984" w:rsidRDefault="001B6596" w:rsidP="00EC6991">
      <w:pPr>
        <w:ind w:left="-1134" w:right="-1050"/>
        <w:jc w:val="both"/>
        <w:rPr>
          <w:rFonts w:hint="cs"/>
          <w:lang w:bidi="ar-EG"/>
        </w:rPr>
      </w:pPr>
    </w:p>
    <w:p w:rsidR="006D29D4" w:rsidRDefault="001B6596" w:rsidP="00127984">
      <w:pPr>
        <w:ind w:left="-1134" w:right="-1050"/>
        <w:jc w:val="both"/>
      </w:pPr>
      <w:r>
        <w:t xml:space="preserve">        </w:t>
      </w:r>
      <w:r w:rsidR="00221AD6">
        <w:t>High serum bilirubin, INR , MELD score, and alphafeoprotein, low platelet count, and progressive tumor response were detected to be negatively affecting 6 month survival</w:t>
      </w:r>
      <w:r w:rsidR="00C146D4">
        <w:t xml:space="preserve"> </w:t>
      </w:r>
      <w:r w:rsidR="00C146D4" w:rsidRPr="001B6596">
        <w:rPr>
          <w:b/>
          <w:bCs/>
        </w:rPr>
        <w:t>(Table 3)</w:t>
      </w:r>
      <w:r w:rsidR="00221AD6" w:rsidRPr="001B6596">
        <w:rPr>
          <w:b/>
          <w:bCs/>
        </w:rPr>
        <w:t>.</w:t>
      </w:r>
      <w:r w:rsidR="00127984">
        <w:rPr>
          <w:b/>
          <w:bCs/>
        </w:rPr>
        <w:t xml:space="preserve">                                                                       </w:t>
      </w:r>
    </w:p>
    <w:p w:rsidR="00632BA7" w:rsidRDefault="00632BA7" w:rsidP="00EC6991">
      <w:pPr>
        <w:ind w:left="-1134" w:right="-1050"/>
        <w:jc w:val="both"/>
        <w:rPr>
          <w:rFonts w:hint="cs"/>
          <w:lang w:bidi="ar-EG"/>
        </w:rPr>
      </w:pPr>
    </w:p>
    <w:p w:rsidR="00632BA7" w:rsidRDefault="00632BA7" w:rsidP="00127984">
      <w:pPr>
        <w:ind w:left="-1134" w:right="-1050"/>
        <w:jc w:val="right"/>
        <w:rPr>
          <w:rFonts w:hint="cs"/>
        </w:rPr>
      </w:pPr>
      <w:r w:rsidRPr="00632BA7">
        <w:rPr>
          <w:rtl/>
        </w:rPr>
        <w:drawing>
          <wp:inline distT="0" distB="0" distL="0" distR="0">
            <wp:extent cx="4680585" cy="2733675"/>
            <wp:effectExtent l="19050" t="0" r="24765"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632BA7" w:rsidRPr="001B6596" w:rsidRDefault="001B6596" w:rsidP="00127984">
      <w:pPr>
        <w:ind w:left="-1134" w:right="-1050"/>
        <w:jc w:val="right"/>
        <w:rPr>
          <w:rFonts w:hint="cs"/>
          <w:b/>
          <w:bCs/>
          <w:rtl/>
          <w:lang w:bidi="ar-EG"/>
        </w:rPr>
      </w:pPr>
      <w:r>
        <w:t xml:space="preserve">                                 </w:t>
      </w:r>
      <w:r w:rsidR="00632BA7" w:rsidRPr="001B6596">
        <w:rPr>
          <w:b/>
          <w:bCs/>
        </w:rPr>
        <w:t>Figure (1): Radiological response after TACE.</w:t>
      </w:r>
    </w:p>
    <w:p w:rsidR="00632BA7" w:rsidRDefault="00632BA7" w:rsidP="00EC6991">
      <w:pPr>
        <w:ind w:left="-1134" w:right="-1050"/>
        <w:jc w:val="both"/>
        <w:rPr>
          <w:rFonts w:hint="cs"/>
          <w:b/>
          <w:bCs/>
          <w:rtl/>
          <w:lang w:bidi="ar-EG"/>
        </w:rPr>
      </w:pPr>
    </w:p>
    <w:p w:rsidR="001B6596" w:rsidRDefault="001B6596" w:rsidP="00EC6991">
      <w:pPr>
        <w:ind w:left="-1134" w:right="-1050"/>
        <w:jc w:val="both"/>
        <w:rPr>
          <w:rFonts w:hint="cs"/>
          <w:b/>
          <w:bCs/>
          <w:rtl/>
          <w:lang w:bidi="ar-EG"/>
        </w:rPr>
      </w:pPr>
    </w:p>
    <w:p w:rsidR="001B6596" w:rsidRDefault="001B6596" w:rsidP="00EC6991">
      <w:pPr>
        <w:ind w:left="-1134" w:right="-1050"/>
        <w:jc w:val="both"/>
        <w:rPr>
          <w:rFonts w:hint="cs"/>
          <w:b/>
          <w:bCs/>
          <w:rtl/>
          <w:lang w:bidi="ar-EG"/>
        </w:rPr>
      </w:pPr>
    </w:p>
    <w:p w:rsidR="001B6596" w:rsidRDefault="001B6596" w:rsidP="00EC6991">
      <w:pPr>
        <w:ind w:left="-1134" w:right="-1050"/>
        <w:jc w:val="both"/>
        <w:rPr>
          <w:rFonts w:hint="cs"/>
          <w:b/>
          <w:bCs/>
          <w:rtl/>
          <w:lang w:bidi="ar-EG"/>
        </w:rPr>
      </w:pPr>
    </w:p>
    <w:p w:rsidR="001B6596" w:rsidRDefault="001B6596" w:rsidP="00EC6991">
      <w:pPr>
        <w:ind w:left="-1134" w:right="-1050"/>
        <w:jc w:val="both"/>
        <w:rPr>
          <w:rFonts w:hint="cs"/>
          <w:b/>
          <w:bCs/>
          <w:rtl/>
          <w:lang w:bidi="ar-EG"/>
        </w:rPr>
      </w:pPr>
    </w:p>
    <w:p w:rsidR="001B6596" w:rsidRDefault="001B6596" w:rsidP="00EC6991">
      <w:pPr>
        <w:ind w:left="-1134" w:right="-1050"/>
        <w:jc w:val="both"/>
        <w:rPr>
          <w:rFonts w:hint="cs"/>
          <w:b/>
          <w:bCs/>
          <w:rtl/>
          <w:lang w:bidi="ar-EG"/>
        </w:rPr>
      </w:pPr>
    </w:p>
    <w:p w:rsidR="001B6596" w:rsidRDefault="001B6596" w:rsidP="00EC6991">
      <w:pPr>
        <w:ind w:left="-1134" w:right="-1050"/>
        <w:jc w:val="both"/>
        <w:rPr>
          <w:rFonts w:hint="cs"/>
          <w:b/>
          <w:bCs/>
          <w:rtl/>
          <w:lang w:bidi="ar-EG"/>
        </w:rPr>
      </w:pPr>
    </w:p>
    <w:p w:rsidR="001B6596" w:rsidRDefault="001B6596" w:rsidP="00EC6991">
      <w:pPr>
        <w:ind w:left="-1134" w:right="-1050"/>
        <w:jc w:val="both"/>
        <w:rPr>
          <w:rFonts w:hint="cs"/>
          <w:b/>
          <w:bCs/>
          <w:rtl/>
          <w:lang w:bidi="ar-EG"/>
        </w:rPr>
      </w:pPr>
    </w:p>
    <w:p w:rsidR="001B6596" w:rsidRDefault="001B6596" w:rsidP="00EC6991">
      <w:pPr>
        <w:ind w:left="-1134" w:right="-1050"/>
        <w:jc w:val="both"/>
        <w:rPr>
          <w:rFonts w:hint="cs"/>
          <w:b/>
          <w:bCs/>
          <w:rtl/>
          <w:lang w:bidi="ar-EG"/>
        </w:rPr>
      </w:pPr>
    </w:p>
    <w:p w:rsidR="001B6596" w:rsidRDefault="001B6596" w:rsidP="00EC6991">
      <w:pPr>
        <w:ind w:left="-1134" w:right="-1050"/>
        <w:jc w:val="both"/>
        <w:rPr>
          <w:rFonts w:hint="cs"/>
          <w:b/>
          <w:bCs/>
          <w:rtl/>
          <w:lang w:bidi="ar-EG"/>
        </w:rPr>
      </w:pPr>
    </w:p>
    <w:p w:rsidR="001B6596" w:rsidRDefault="001B6596" w:rsidP="00EC6991">
      <w:pPr>
        <w:ind w:left="-1134" w:right="-1050"/>
        <w:jc w:val="both"/>
        <w:rPr>
          <w:rFonts w:hint="cs"/>
          <w:b/>
          <w:bCs/>
          <w:rtl/>
          <w:lang w:bidi="ar-EG"/>
        </w:rPr>
      </w:pPr>
    </w:p>
    <w:p w:rsidR="001B6596" w:rsidRPr="001B6596" w:rsidRDefault="001B6596" w:rsidP="00EC6991">
      <w:pPr>
        <w:ind w:left="-1134" w:right="-1050"/>
        <w:jc w:val="both"/>
        <w:rPr>
          <w:rFonts w:hint="cs"/>
          <w:b/>
          <w:bCs/>
          <w:rtl/>
          <w:lang w:bidi="ar-EG"/>
        </w:rPr>
      </w:pPr>
    </w:p>
    <w:tbl>
      <w:tblPr>
        <w:bidiVisual/>
        <w:tblW w:w="9560" w:type="dxa"/>
        <w:tblCellMar>
          <w:left w:w="0" w:type="dxa"/>
          <w:right w:w="0" w:type="dxa"/>
        </w:tblCellMar>
        <w:tblLook w:val="04A0"/>
      </w:tblPr>
      <w:tblGrid>
        <w:gridCol w:w="1796"/>
        <w:gridCol w:w="1496"/>
        <w:gridCol w:w="1278"/>
        <w:gridCol w:w="1734"/>
        <w:gridCol w:w="1578"/>
        <w:gridCol w:w="1678"/>
      </w:tblGrid>
      <w:tr w:rsidR="006D29D4" w:rsidRPr="006D29D4" w:rsidTr="00632BA7">
        <w:trPr>
          <w:trHeight w:val="1267"/>
        </w:trPr>
        <w:tc>
          <w:tcPr>
            <w:tcW w:w="1796" w:type="dxa"/>
            <w:tcBorders>
              <w:top w:val="single" w:sz="8" w:space="0" w:color="8B6A94"/>
              <w:left w:val="single" w:sz="8" w:space="0" w:color="8B6A94"/>
              <w:bottom w:val="single" w:sz="8" w:space="0" w:color="8B6A94"/>
              <w:right w:val="single" w:sz="8" w:space="0" w:color="8B6A94"/>
            </w:tcBorders>
            <w:shd w:val="clear" w:color="auto" w:fill="EEEBEF"/>
            <w:tcMar>
              <w:top w:w="15" w:type="dxa"/>
              <w:left w:w="108" w:type="dxa"/>
              <w:bottom w:w="0" w:type="dxa"/>
              <w:right w:w="108" w:type="dxa"/>
            </w:tcMar>
            <w:vAlign w:val="center"/>
            <w:hideMark/>
          </w:tcPr>
          <w:p w:rsidR="006D29D4" w:rsidRPr="006D29D4" w:rsidRDefault="006D29D4" w:rsidP="00EC6991">
            <w:pPr>
              <w:bidi w:val="0"/>
              <w:spacing w:after="0" w:line="240" w:lineRule="auto"/>
              <w:ind w:left="-1134" w:right="-1050"/>
              <w:jc w:val="center"/>
            </w:pPr>
            <w:r w:rsidRPr="006D29D4">
              <w:lastRenderedPageBreak/>
              <w:t>P - Value</w:t>
            </w:r>
            <w:r w:rsidRPr="006D29D4">
              <w:rPr>
                <w:rtl/>
              </w:rPr>
              <w:t xml:space="preserve"> </w:t>
            </w:r>
          </w:p>
        </w:tc>
        <w:tc>
          <w:tcPr>
            <w:tcW w:w="1496" w:type="dxa"/>
            <w:tcBorders>
              <w:top w:val="single" w:sz="8" w:space="0" w:color="8B6A94"/>
              <w:left w:val="single" w:sz="8" w:space="0" w:color="8B6A94"/>
              <w:bottom w:val="single" w:sz="8" w:space="0" w:color="8B6A94"/>
              <w:right w:val="single" w:sz="8" w:space="0" w:color="8B6A94"/>
            </w:tcBorders>
            <w:shd w:val="clear" w:color="auto" w:fill="EEEBEF"/>
            <w:tcMar>
              <w:top w:w="15" w:type="dxa"/>
              <w:left w:w="108" w:type="dxa"/>
              <w:bottom w:w="0" w:type="dxa"/>
              <w:right w:w="108" w:type="dxa"/>
            </w:tcMar>
            <w:vAlign w:val="center"/>
            <w:hideMark/>
          </w:tcPr>
          <w:p w:rsidR="006D29D4" w:rsidRPr="006D29D4" w:rsidRDefault="006D29D4" w:rsidP="00EC6991">
            <w:pPr>
              <w:bidi w:val="0"/>
              <w:spacing w:after="0" w:line="360" w:lineRule="auto"/>
              <w:ind w:left="-1134" w:right="-1050"/>
              <w:jc w:val="center"/>
            </w:pPr>
            <w:r w:rsidRPr="006D29D4">
              <w:t xml:space="preserve">Group III (PD) </w:t>
            </w:r>
          </w:p>
        </w:tc>
        <w:tc>
          <w:tcPr>
            <w:tcW w:w="1278" w:type="dxa"/>
            <w:tcBorders>
              <w:top w:val="single" w:sz="8" w:space="0" w:color="8B6A94"/>
              <w:left w:val="single" w:sz="8" w:space="0" w:color="8B6A94"/>
              <w:bottom w:val="single" w:sz="8" w:space="0" w:color="8B6A94"/>
              <w:right w:val="single" w:sz="8" w:space="0" w:color="8B6A94"/>
            </w:tcBorders>
            <w:shd w:val="clear" w:color="auto" w:fill="EEEBEF"/>
            <w:tcMar>
              <w:top w:w="15" w:type="dxa"/>
              <w:left w:w="108" w:type="dxa"/>
              <w:bottom w:w="0" w:type="dxa"/>
              <w:right w:w="108" w:type="dxa"/>
            </w:tcMar>
            <w:vAlign w:val="center"/>
            <w:hideMark/>
          </w:tcPr>
          <w:p w:rsidR="006D29D4" w:rsidRPr="006D29D4" w:rsidRDefault="006D29D4" w:rsidP="00EC6991">
            <w:pPr>
              <w:bidi w:val="0"/>
              <w:spacing w:after="0" w:line="360" w:lineRule="auto"/>
              <w:ind w:left="-1134" w:right="-1050"/>
              <w:jc w:val="center"/>
            </w:pPr>
            <w:r w:rsidRPr="006D29D4">
              <w:t xml:space="preserve">Group II </w:t>
            </w:r>
            <w:r w:rsidRPr="006D29D4">
              <w:br/>
              <w:t xml:space="preserve">(PR, SD) </w:t>
            </w:r>
          </w:p>
        </w:tc>
        <w:tc>
          <w:tcPr>
            <w:tcW w:w="1734" w:type="dxa"/>
            <w:tcBorders>
              <w:top w:val="single" w:sz="8" w:space="0" w:color="8B6A94"/>
              <w:left w:val="single" w:sz="8" w:space="0" w:color="8B6A94"/>
              <w:bottom w:val="single" w:sz="8" w:space="0" w:color="8B6A94"/>
              <w:right w:val="single" w:sz="8" w:space="0" w:color="8B6A94"/>
            </w:tcBorders>
            <w:shd w:val="clear" w:color="auto" w:fill="EEEBEF"/>
            <w:tcMar>
              <w:top w:w="15" w:type="dxa"/>
              <w:left w:w="108" w:type="dxa"/>
              <w:bottom w:w="0" w:type="dxa"/>
              <w:right w:w="108" w:type="dxa"/>
            </w:tcMar>
            <w:vAlign w:val="center"/>
            <w:hideMark/>
          </w:tcPr>
          <w:p w:rsidR="006D29D4" w:rsidRPr="006D29D4" w:rsidRDefault="006D29D4" w:rsidP="00EC6991">
            <w:pPr>
              <w:bidi w:val="0"/>
              <w:spacing w:after="0" w:line="360" w:lineRule="auto"/>
              <w:ind w:left="-1134" w:right="-1050"/>
              <w:jc w:val="center"/>
            </w:pPr>
            <w:r w:rsidRPr="006D29D4">
              <w:t xml:space="preserve">Group I (CR) </w:t>
            </w:r>
          </w:p>
        </w:tc>
        <w:tc>
          <w:tcPr>
            <w:tcW w:w="3256" w:type="dxa"/>
            <w:gridSpan w:val="2"/>
            <w:tcBorders>
              <w:top w:val="single" w:sz="8" w:space="0" w:color="8B6A94"/>
              <w:left w:val="single" w:sz="8" w:space="0" w:color="8B6A94"/>
              <w:bottom w:val="single" w:sz="8" w:space="0" w:color="8B6A94"/>
              <w:right w:val="single" w:sz="8" w:space="0" w:color="8B6A94"/>
            </w:tcBorders>
            <w:shd w:val="clear" w:color="auto" w:fill="EEEBEF"/>
            <w:tcMar>
              <w:top w:w="15" w:type="dxa"/>
              <w:left w:w="108" w:type="dxa"/>
              <w:bottom w:w="0" w:type="dxa"/>
              <w:right w:w="108" w:type="dxa"/>
            </w:tcMar>
            <w:vAlign w:val="center"/>
            <w:hideMark/>
          </w:tcPr>
          <w:p w:rsidR="006D29D4" w:rsidRPr="006D29D4" w:rsidRDefault="006D29D4" w:rsidP="00EC6991">
            <w:pPr>
              <w:bidi w:val="0"/>
              <w:spacing w:after="0"/>
              <w:ind w:left="-1134" w:right="-1050"/>
              <w:jc w:val="center"/>
            </w:pPr>
            <w:r w:rsidRPr="006D29D4">
              <w:t xml:space="preserve">Tumor criteria </w:t>
            </w:r>
          </w:p>
        </w:tc>
      </w:tr>
      <w:tr w:rsidR="006D29D4" w:rsidRPr="006D29D4" w:rsidTr="00632BA7">
        <w:trPr>
          <w:trHeight w:val="433"/>
        </w:trPr>
        <w:tc>
          <w:tcPr>
            <w:tcW w:w="1796" w:type="dxa"/>
            <w:vMerge w:val="restart"/>
            <w:tcBorders>
              <w:top w:val="single" w:sz="8" w:space="0" w:color="8B6A94"/>
              <w:left w:val="single" w:sz="8" w:space="0" w:color="8B6A94"/>
              <w:bottom w:val="single" w:sz="8" w:space="0" w:color="8B6A94"/>
              <w:right w:val="single" w:sz="8" w:space="0" w:color="8B6A94"/>
            </w:tcBorders>
            <w:shd w:val="clear" w:color="auto" w:fill="DAD4DC"/>
            <w:tcMar>
              <w:top w:w="15" w:type="dxa"/>
              <w:left w:w="108" w:type="dxa"/>
              <w:bottom w:w="0" w:type="dxa"/>
              <w:right w:w="108" w:type="dxa"/>
            </w:tcMar>
            <w:vAlign w:val="center"/>
            <w:hideMark/>
          </w:tcPr>
          <w:p w:rsidR="006D29D4" w:rsidRPr="006D29D4" w:rsidRDefault="006D29D4" w:rsidP="00EC6991">
            <w:pPr>
              <w:bidi w:val="0"/>
              <w:spacing w:after="0" w:line="240" w:lineRule="auto"/>
              <w:ind w:left="-1134" w:right="-1050"/>
              <w:jc w:val="center"/>
            </w:pPr>
            <w:r w:rsidRPr="006D29D4">
              <w:t>*0.041</w:t>
            </w:r>
          </w:p>
        </w:tc>
        <w:tc>
          <w:tcPr>
            <w:tcW w:w="1496" w:type="dxa"/>
            <w:tcBorders>
              <w:top w:val="single" w:sz="8" w:space="0" w:color="8B6A94"/>
              <w:left w:val="single" w:sz="8" w:space="0" w:color="8B6A94"/>
              <w:bottom w:val="single" w:sz="8" w:space="0" w:color="8B6A94"/>
              <w:right w:val="single" w:sz="8" w:space="0" w:color="8B6A94"/>
            </w:tcBorders>
            <w:shd w:val="clear" w:color="auto" w:fill="DAD4DC"/>
            <w:tcMar>
              <w:top w:w="15" w:type="dxa"/>
              <w:left w:w="108" w:type="dxa"/>
              <w:bottom w:w="0" w:type="dxa"/>
              <w:right w:w="108" w:type="dxa"/>
            </w:tcMar>
            <w:hideMark/>
          </w:tcPr>
          <w:p w:rsidR="006D29D4" w:rsidRPr="006D29D4" w:rsidRDefault="006D29D4" w:rsidP="00EC6991">
            <w:pPr>
              <w:spacing w:after="0"/>
              <w:ind w:left="-1134" w:right="-1050"/>
              <w:jc w:val="center"/>
            </w:pPr>
            <w:r w:rsidRPr="006D29D4">
              <w:t xml:space="preserve">8 </w:t>
            </w:r>
          </w:p>
        </w:tc>
        <w:tc>
          <w:tcPr>
            <w:tcW w:w="1278" w:type="dxa"/>
            <w:tcBorders>
              <w:top w:val="single" w:sz="8" w:space="0" w:color="8B6A94"/>
              <w:left w:val="single" w:sz="8" w:space="0" w:color="8B6A94"/>
              <w:bottom w:val="single" w:sz="8" w:space="0" w:color="8B6A94"/>
              <w:right w:val="single" w:sz="8" w:space="0" w:color="8B6A94"/>
            </w:tcBorders>
            <w:shd w:val="clear" w:color="auto" w:fill="DAD4DC"/>
            <w:tcMar>
              <w:top w:w="15" w:type="dxa"/>
              <w:left w:w="108" w:type="dxa"/>
              <w:bottom w:w="0" w:type="dxa"/>
              <w:right w:w="108" w:type="dxa"/>
            </w:tcMar>
            <w:hideMark/>
          </w:tcPr>
          <w:p w:rsidR="006D29D4" w:rsidRPr="006D29D4" w:rsidRDefault="006D29D4" w:rsidP="00EC6991">
            <w:pPr>
              <w:spacing w:after="0"/>
              <w:ind w:left="-1134" w:right="-1050"/>
              <w:jc w:val="center"/>
            </w:pPr>
            <w:r w:rsidRPr="006D29D4">
              <w:t xml:space="preserve">7 </w:t>
            </w:r>
          </w:p>
        </w:tc>
        <w:tc>
          <w:tcPr>
            <w:tcW w:w="1734" w:type="dxa"/>
            <w:tcBorders>
              <w:top w:val="single" w:sz="8" w:space="0" w:color="8B6A94"/>
              <w:left w:val="single" w:sz="8" w:space="0" w:color="8B6A94"/>
              <w:bottom w:val="single" w:sz="8" w:space="0" w:color="8B6A94"/>
              <w:right w:val="single" w:sz="8" w:space="0" w:color="8B6A94"/>
            </w:tcBorders>
            <w:shd w:val="clear" w:color="auto" w:fill="DAD4DC"/>
            <w:tcMar>
              <w:top w:w="15" w:type="dxa"/>
              <w:left w:w="108" w:type="dxa"/>
              <w:bottom w:w="0" w:type="dxa"/>
              <w:right w:w="108" w:type="dxa"/>
            </w:tcMar>
            <w:hideMark/>
          </w:tcPr>
          <w:p w:rsidR="006D29D4" w:rsidRPr="006D29D4" w:rsidRDefault="006D29D4" w:rsidP="00EC6991">
            <w:pPr>
              <w:spacing w:after="0"/>
              <w:ind w:left="-1134" w:right="-1050"/>
              <w:jc w:val="center"/>
            </w:pPr>
            <w:r w:rsidRPr="006D29D4">
              <w:t xml:space="preserve">19 </w:t>
            </w:r>
          </w:p>
        </w:tc>
        <w:tc>
          <w:tcPr>
            <w:tcW w:w="1578" w:type="dxa"/>
            <w:tcBorders>
              <w:top w:val="single" w:sz="8" w:space="0" w:color="8B6A94"/>
              <w:left w:val="single" w:sz="8" w:space="0" w:color="8B6A94"/>
              <w:bottom w:val="single" w:sz="8" w:space="0" w:color="8B6A94"/>
              <w:right w:val="single" w:sz="8" w:space="0" w:color="8B6A94"/>
            </w:tcBorders>
            <w:shd w:val="clear" w:color="auto" w:fill="DAD4DC"/>
            <w:tcMar>
              <w:top w:w="15" w:type="dxa"/>
              <w:left w:w="108" w:type="dxa"/>
              <w:bottom w:w="0" w:type="dxa"/>
              <w:right w:w="108" w:type="dxa"/>
            </w:tcMar>
            <w:hideMark/>
          </w:tcPr>
          <w:p w:rsidR="006D29D4" w:rsidRPr="006D29D4" w:rsidRDefault="006D29D4" w:rsidP="00EC6991">
            <w:pPr>
              <w:bidi w:val="0"/>
              <w:spacing w:after="0"/>
              <w:ind w:left="-1134" w:right="-1050"/>
              <w:jc w:val="center"/>
            </w:pPr>
            <w:r w:rsidRPr="006D29D4">
              <w:t xml:space="preserve">One </w:t>
            </w:r>
          </w:p>
        </w:tc>
        <w:tc>
          <w:tcPr>
            <w:tcW w:w="1678" w:type="dxa"/>
            <w:vMerge w:val="restart"/>
            <w:tcBorders>
              <w:top w:val="single" w:sz="8" w:space="0" w:color="8B6A94"/>
              <w:left w:val="single" w:sz="8" w:space="0" w:color="8B6A94"/>
              <w:bottom w:val="single" w:sz="8" w:space="0" w:color="8B6A94"/>
              <w:right w:val="single" w:sz="8" w:space="0" w:color="8B6A94"/>
            </w:tcBorders>
            <w:shd w:val="clear" w:color="auto" w:fill="DAD4DC"/>
            <w:tcMar>
              <w:top w:w="72" w:type="dxa"/>
              <w:left w:w="144" w:type="dxa"/>
              <w:bottom w:w="72" w:type="dxa"/>
              <w:right w:w="144" w:type="dxa"/>
            </w:tcMar>
            <w:vAlign w:val="center"/>
            <w:hideMark/>
          </w:tcPr>
          <w:p w:rsidR="006D29D4" w:rsidRPr="006D29D4" w:rsidRDefault="006D29D4" w:rsidP="00EC6991">
            <w:pPr>
              <w:spacing w:after="0" w:line="240" w:lineRule="auto"/>
              <w:ind w:left="-1134" w:right="-1050"/>
              <w:jc w:val="center"/>
            </w:pPr>
            <w:r w:rsidRPr="006D29D4">
              <w:t>Segments involved</w:t>
            </w:r>
            <w:r w:rsidRPr="006D29D4">
              <w:rPr>
                <w:rtl/>
              </w:rPr>
              <w:t xml:space="preserve"> </w:t>
            </w:r>
          </w:p>
        </w:tc>
      </w:tr>
      <w:tr w:rsidR="006D29D4" w:rsidRPr="006D29D4" w:rsidTr="00632BA7">
        <w:trPr>
          <w:trHeight w:val="433"/>
        </w:trPr>
        <w:tc>
          <w:tcPr>
            <w:tcW w:w="0" w:type="auto"/>
            <w:vMerge/>
            <w:tcBorders>
              <w:top w:val="single" w:sz="8" w:space="0" w:color="8B6A94"/>
              <w:left w:val="single" w:sz="8" w:space="0" w:color="8B6A94"/>
              <w:bottom w:val="single" w:sz="8" w:space="0" w:color="8B6A94"/>
              <w:right w:val="single" w:sz="8" w:space="0" w:color="8B6A94"/>
            </w:tcBorders>
            <w:vAlign w:val="center"/>
            <w:hideMark/>
          </w:tcPr>
          <w:p w:rsidR="006D29D4" w:rsidRPr="006D29D4" w:rsidRDefault="006D29D4" w:rsidP="00EC6991">
            <w:pPr>
              <w:bidi w:val="0"/>
              <w:spacing w:after="0" w:line="240" w:lineRule="auto"/>
              <w:ind w:left="-1134" w:right="-1050"/>
            </w:pPr>
          </w:p>
        </w:tc>
        <w:tc>
          <w:tcPr>
            <w:tcW w:w="1496" w:type="dxa"/>
            <w:tcBorders>
              <w:top w:val="single" w:sz="8" w:space="0" w:color="8B6A94"/>
              <w:left w:val="single" w:sz="8" w:space="0" w:color="8B6A94"/>
              <w:bottom w:val="single" w:sz="8" w:space="0" w:color="8B6A94"/>
              <w:right w:val="single" w:sz="8" w:space="0" w:color="8B6A94"/>
            </w:tcBorders>
            <w:shd w:val="clear" w:color="auto" w:fill="EEEBEF"/>
            <w:tcMar>
              <w:top w:w="15" w:type="dxa"/>
              <w:left w:w="108" w:type="dxa"/>
              <w:bottom w:w="0" w:type="dxa"/>
              <w:right w:w="108" w:type="dxa"/>
            </w:tcMar>
            <w:hideMark/>
          </w:tcPr>
          <w:p w:rsidR="006D29D4" w:rsidRPr="006D29D4" w:rsidRDefault="006D29D4" w:rsidP="00EC6991">
            <w:pPr>
              <w:spacing w:after="0"/>
              <w:ind w:left="-1134" w:right="-1050"/>
              <w:jc w:val="center"/>
            </w:pPr>
            <w:r w:rsidRPr="006D29D4">
              <w:t xml:space="preserve">9 </w:t>
            </w:r>
          </w:p>
        </w:tc>
        <w:tc>
          <w:tcPr>
            <w:tcW w:w="1278" w:type="dxa"/>
            <w:tcBorders>
              <w:top w:val="single" w:sz="8" w:space="0" w:color="8B6A94"/>
              <w:left w:val="single" w:sz="8" w:space="0" w:color="8B6A94"/>
              <w:bottom w:val="single" w:sz="8" w:space="0" w:color="8B6A94"/>
              <w:right w:val="single" w:sz="8" w:space="0" w:color="8B6A94"/>
            </w:tcBorders>
            <w:shd w:val="clear" w:color="auto" w:fill="EEEBEF"/>
            <w:tcMar>
              <w:top w:w="15" w:type="dxa"/>
              <w:left w:w="108" w:type="dxa"/>
              <w:bottom w:w="0" w:type="dxa"/>
              <w:right w:w="108" w:type="dxa"/>
            </w:tcMar>
            <w:hideMark/>
          </w:tcPr>
          <w:p w:rsidR="006D29D4" w:rsidRPr="006D29D4" w:rsidRDefault="006D29D4" w:rsidP="00EC6991">
            <w:pPr>
              <w:spacing w:after="0"/>
              <w:ind w:left="-1134" w:right="-1050"/>
              <w:jc w:val="center"/>
            </w:pPr>
            <w:r w:rsidRPr="006D29D4">
              <w:t xml:space="preserve">8 </w:t>
            </w:r>
          </w:p>
        </w:tc>
        <w:tc>
          <w:tcPr>
            <w:tcW w:w="1734" w:type="dxa"/>
            <w:tcBorders>
              <w:top w:val="single" w:sz="8" w:space="0" w:color="8B6A94"/>
              <w:left w:val="single" w:sz="8" w:space="0" w:color="8B6A94"/>
              <w:bottom w:val="single" w:sz="8" w:space="0" w:color="8B6A94"/>
              <w:right w:val="single" w:sz="8" w:space="0" w:color="8B6A94"/>
            </w:tcBorders>
            <w:shd w:val="clear" w:color="auto" w:fill="EEEBEF"/>
            <w:tcMar>
              <w:top w:w="15" w:type="dxa"/>
              <w:left w:w="108" w:type="dxa"/>
              <w:bottom w:w="0" w:type="dxa"/>
              <w:right w:w="108" w:type="dxa"/>
            </w:tcMar>
            <w:hideMark/>
          </w:tcPr>
          <w:p w:rsidR="006D29D4" w:rsidRPr="006D29D4" w:rsidRDefault="006D29D4" w:rsidP="00EC6991">
            <w:pPr>
              <w:spacing w:after="0"/>
              <w:ind w:left="-1134" w:right="-1050"/>
              <w:jc w:val="center"/>
            </w:pPr>
            <w:r w:rsidRPr="006D29D4">
              <w:t xml:space="preserve">6 </w:t>
            </w:r>
          </w:p>
        </w:tc>
        <w:tc>
          <w:tcPr>
            <w:tcW w:w="1578" w:type="dxa"/>
            <w:tcBorders>
              <w:top w:val="single" w:sz="8" w:space="0" w:color="8B6A94"/>
              <w:left w:val="single" w:sz="8" w:space="0" w:color="8B6A94"/>
              <w:bottom w:val="single" w:sz="8" w:space="0" w:color="8B6A94"/>
              <w:right w:val="single" w:sz="8" w:space="0" w:color="8B6A94"/>
            </w:tcBorders>
            <w:shd w:val="clear" w:color="auto" w:fill="EEEBEF"/>
            <w:tcMar>
              <w:top w:w="15" w:type="dxa"/>
              <w:left w:w="108" w:type="dxa"/>
              <w:bottom w:w="0" w:type="dxa"/>
              <w:right w:w="108" w:type="dxa"/>
            </w:tcMar>
            <w:hideMark/>
          </w:tcPr>
          <w:p w:rsidR="006D29D4" w:rsidRPr="006D29D4" w:rsidRDefault="006D29D4" w:rsidP="00EC6991">
            <w:pPr>
              <w:bidi w:val="0"/>
              <w:spacing w:after="0"/>
              <w:ind w:left="-1134" w:right="-1050"/>
              <w:jc w:val="center"/>
            </w:pPr>
            <w:r w:rsidRPr="006D29D4">
              <w:t xml:space="preserve">Two </w:t>
            </w:r>
          </w:p>
        </w:tc>
        <w:tc>
          <w:tcPr>
            <w:tcW w:w="0" w:type="auto"/>
            <w:vMerge/>
            <w:tcBorders>
              <w:top w:val="single" w:sz="8" w:space="0" w:color="8B6A94"/>
              <w:left w:val="single" w:sz="8" w:space="0" w:color="8B6A94"/>
              <w:bottom w:val="single" w:sz="8" w:space="0" w:color="8B6A94"/>
              <w:right w:val="single" w:sz="8" w:space="0" w:color="8B6A94"/>
            </w:tcBorders>
            <w:vAlign w:val="center"/>
            <w:hideMark/>
          </w:tcPr>
          <w:p w:rsidR="006D29D4" w:rsidRPr="006D29D4" w:rsidRDefault="006D29D4" w:rsidP="00EC6991">
            <w:pPr>
              <w:bidi w:val="0"/>
              <w:spacing w:after="0" w:line="240" w:lineRule="auto"/>
              <w:ind w:left="-1134" w:right="-1050"/>
            </w:pPr>
          </w:p>
        </w:tc>
      </w:tr>
      <w:tr w:rsidR="006D29D4" w:rsidRPr="006D29D4" w:rsidTr="00632BA7">
        <w:trPr>
          <w:trHeight w:val="693"/>
        </w:trPr>
        <w:tc>
          <w:tcPr>
            <w:tcW w:w="0" w:type="auto"/>
            <w:vMerge/>
            <w:tcBorders>
              <w:top w:val="single" w:sz="8" w:space="0" w:color="8B6A94"/>
              <w:left w:val="single" w:sz="8" w:space="0" w:color="8B6A94"/>
              <w:bottom w:val="single" w:sz="8" w:space="0" w:color="8B6A94"/>
              <w:right w:val="single" w:sz="8" w:space="0" w:color="8B6A94"/>
            </w:tcBorders>
            <w:vAlign w:val="center"/>
            <w:hideMark/>
          </w:tcPr>
          <w:p w:rsidR="006D29D4" w:rsidRPr="006D29D4" w:rsidRDefault="006D29D4" w:rsidP="00EC6991">
            <w:pPr>
              <w:bidi w:val="0"/>
              <w:spacing w:after="0" w:line="240" w:lineRule="auto"/>
              <w:ind w:left="-1134" w:right="-1050"/>
            </w:pPr>
          </w:p>
        </w:tc>
        <w:tc>
          <w:tcPr>
            <w:tcW w:w="1496" w:type="dxa"/>
            <w:tcBorders>
              <w:top w:val="single" w:sz="8" w:space="0" w:color="8B6A94"/>
              <w:left w:val="single" w:sz="8" w:space="0" w:color="8B6A94"/>
              <w:bottom w:val="single" w:sz="8" w:space="0" w:color="8B6A94"/>
              <w:right w:val="single" w:sz="8" w:space="0" w:color="8B6A94"/>
            </w:tcBorders>
            <w:shd w:val="clear" w:color="auto" w:fill="DAD4DC"/>
            <w:tcMar>
              <w:top w:w="15" w:type="dxa"/>
              <w:left w:w="108" w:type="dxa"/>
              <w:bottom w:w="0" w:type="dxa"/>
              <w:right w:w="108" w:type="dxa"/>
            </w:tcMar>
            <w:hideMark/>
          </w:tcPr>
          <w:p w:rsidR="006D29D4" w:rsidRPr="006D29D4" w:rsidRDefault="006D29D4" w:rsidP="00EC6991">
            <w:pPr>
              <w:spacing w:after="0"/>
              <w:ind w:left="-1134" w:right="-1050"/>
              <w:jc w:val="center"/>
            </w:pPr>
            <w:r w:rsidRPr="006D29D4">
              <w:t xml:space="preserve">3 </w:t>
            </w:r>
          </w:p>
        </w:tc>
        <w:tc>
          <w:tcPr>
            <w:tcW w:w="1278" w:type="dxa"/>
            <w:tcBorders>
              <w:top w:val="single" w:sz="8" w:space="0" w:color="8B6A94"/>
              <w:left w:val="single" w:sz="8" w:space="0" w:color="8B6A94"/>
              <w:bottom w:val="single" w:sz="8" w:space="0" w:color="8B6A94"/>
              <w:right w:val="single" w:sz="8" w:space="0" w:color="8B6A94"/>
            </w:tcBorders>
            <w:shd w:val="clear" w:color="auto" w:fill="DAD4DC"/>
            <w:tcMar>
              <w:top w:w="15" w:type="dxa"/>
              <w:left w:w="108" w:type="dxa"/>
              <w:bottom w:w="0" w:type="dxa"/>
              <w:right w:w="108" w:type="dxa"/>
            </w:tcMar>
            <w:hideMark/>
          </w:tcPr>
          <w:p w:rsidR="006D29D4" w:rsidRPr="006D29D4" w:rsidRDefault="006D29D4" w:rsidP="00EC6991">
            <w:pPr>
              <w:spacing w:after="0"/>
              <w:ind w:left="-1134" w:right="-1050"/>
              <w:jc w:val="center"/>
            </w:pPr>
            <w:r w:rsidRPr="006D29D4">
              <w:t xml:space="preserve">2 </w:t>
            </w:r>
          </w:p>
        </w:tc>
        <w:tc>
          <w:tcPr>
            <w:tcW w:w="1734" w:type="dxa"/>
            <w:tcBorders>
              <w:top w:val="single" w:sz="8" w:space="0" w:color="8B6A94"/>
              <w:left w:val="single" w:sz="8" w:space="0" w:color="8B6A94"/>
              <w:bottom w:val="single" w:sz="8" w:space="0" w:color="8B6A94"/>
              <w:right w:val="single" w:sz="8" w:space="0" w:color="8B6A94"/>
            </w:tcBorders>
            <w:shd w:val="clear" w:color="auto" w:fill="DAD4DC"/>
            <w:tcMar>
              <w:top w:w="15" w:type="dxa"/>
              <w:left w:w="108" w:type="dxa"/>
              <w:bottom w:w="0" w:type="dxa"/>
              <w:right w:w="108" w:type="dxa"/>
            </w:tcMar>
            <w:hideMark/>
          </w:tcPr>
          <w:p w:rsidR="006D29D4" w:rsidRPr="006D29D4" w:rsidRDefault="006D29D4" w:rsidP="00EC6991">
            <w:pPr>
              <w:spacing w:after="0"/>
              <w:ind w:left="-1134" w:right="-1050"/>
              <w:jc w:val="center"/>
            </w:pPr>
            <w:r w:rsidRPr="006D29D4">
              <w:t xml:space="preserve">0 </w:t>
            </w:r>
          </w:p>
        </w:tc>
        <w:tc>
          <w:tcPr>
            <w:tcW w:w="1578" w:type="dxa"/>
            <w:tcBorders>
              <w:top w:val="single" w:sz="8" w:space="0" w:color="8B6A94"/>
              <w:left w:val="single" w:sz="8" w:space="0" w:color="8B6A94"/>
              <w:bottom w:val="single" w:sz="8" w:space="0" w:color="8B6A94"/>
              <w:right w:val="single" w:sz="8" w:space="0" w:color="8B6A94"/>
            </w:tcBorders>
            <w:shd w:val="clear" w:color="auto" w:fill="DAD4DC"/>
            <w:tcMar>
              <w:top w:w="15" w:type="dxa"/>
              <w:left w:w="108" w:type="dxa"/>
              <w:bottom w:w="0" w:type="dxa"/>
              <w:right w:w="108" w:type="dxa"/>
            </w:tcMar>
            <w:hideMark/>
          </w:tcPr>
          <w:p w:rsidR="006D29D4" w:rsidRPr="006D29D4" w:rsidRDefault="006D29D4" w:rsidP="00EC6991">
            <w:pPr>
              <w:bidi w:val="0"/>
              <w:spacing w:after="0"/>
              <w:ind w:left="-1134" w:right="-1050"/>
              <w:jc w:val="center"/>
            </w:pPr>
            <w:r w:rsidRPr="006D29D4">
              <w:t xml:space="preserve">Three or more </w:t>
            </w:r>
          </w:p>
        </w:tc>
        <w:tc>
          <w:tcPr>
            <w:tcW w:w="0" w:type="auto"/>
            <w:vMerge/>
            <w:tcBorders>
              <w:top w:val="single" w:sz="8" w:space="0" w:color="8B6A94"/>
              <w:left w:val="single" w:sz="8" w:space="0" w:color="8B6A94"/>
              <w:bottom w:val="single" w:sz="8" w:space="0" w:color="8B6A94"/>
              <w:right w:val="single" w:sz="8" w:space="0" w:color="8B6A94"/>
            </w:tcBorders>
            <w:vAlign w:val="center"/>
            <w:hideMark/>
          </w:tcPr>
          <w:p w:rsidR="006D29D4" w:rsidRPr="006D29D4" w:rsidRDefault="006D29D4" w:rsidP="00EC6991">
            <w:pPr>
              <w:bidi w:val="0"/>
              <w:spacing w:after="0" w:line="240" w:lineRule="auto"/>
              <w:ind w:left="-1134" w:right="-1050"/>
            </w:pPr>
          </w:p>
        </w:tc>
      </w:tr>
      <w:tr w:rsidR="006D29D4" w:rsidRPr="006D29D4" w:rsidTr="00632BA7">
        <w:trPr>
          <w:trHeight w:val="756"/>
        </w:trPr>
        <w:tc>
          <w:tcPr>
            <w:tcW w:w="1796" w:type="dxa"/>
            <w:tcBorders>
              <w:top w:val="single" w:sz="8" w:space="0" w:color="8B6A94"/>
              <w:left w:val="single" w:sz="8" w:space="0" w:color="8B6A94"/>
              <w:bottom w:val="single" w:sz="8" w:space="0" w:color="8B6A94"/>
              <w:right w:val="single" w:sz="8" w:space="0" w:color="8B6A94"/>
            </w:tcBorders>
            <w:shd w:val="clear" w:color="auto" w:fill="EEEBEF"/>
            <w:tcMar>
              <w:top w:w="72" w:type="dxa"/>
              <w:left w:w="144" w:type="dxa"/>
              <w:bottom w:w="72" w:type="dxa"/>
              <w:right w:w="144" w:type="dxa"/>
            </w:tcMar>
            <w:vAlign w:val="center"/>
            <w:hideMark/>
          </w:tcPr>
          <w:p w:rsidR="006D29D4" w:rsidRPr="006D29D4" w:rsidRDefault="006D29D4" w:rsidP="00EC6991">
            <w:pPr>
              <w:bidi w:val="0"/>
              <w:spacing w:after="0" w:line="240" w:lineRule="auto"/>
              <w:ind w:left="-1134" w:right="-1050"/>
              <w:jc w:val="center"/>
            </w:pPr>
            <w:r w:rsidRPr="006D29D4">
              <w:t>*0.007</w:t>
            </w:r>
            <w:r w:rsidRPr="006D29D4">
              <w:rPr>
                <w:rtl/>
              </w:rPr>
              <w:t xml:space="preserve"> </w:t>
            </w:r>
          </w:p>
        </w:tc>
        <w:tc>
          <w:tcPr>
            <w:tcW w:w="1496" w:type="dxa"/>
            <w:tcBorders>
              <w:top w:val="single" w:sz="8" w:space="0" w:color="8B6A94"/>
              <w:left w:val="single" w:sz="8" w:space="0" w:color="8B6A94"/>
              <w:bottom w:val="single" w:sz="8" w:space="0" w:color="8B6A94"/>
              <w:right w:val="single" w:sz="8" w:space="0" w:color="8B6A94"/>
            </w:tcBorders>
            <w:shd w:val="clear" w:color="auto" w:fill="EEEBEF"/>
            <w:tcMar>
              <w:top w:w="15" w:type="dxa"/>
              <w:left w:w="108" w:type="dxa"/>
              <w:bottom w:w="0" w:type="dxa"/>
              <w:right w:w="108" w:type="dxa"/>
            </w:tcMar>
            <w:hideMark/>
          </w:tcPr>
          <w:p w:rsidR="006D29D4" w:rsidRPr="006D29D4" w:rsidRDefault="006D29D4" w:rsidP="00EC6991">
            <w:pPr>
              <w:spacing w:after="0"/>
              <w:ind w:left="-1134" w:right="-1050"/>
              <w:jc w:val="center"/>
            </w:pPr>
            <w:r w:rsidRPr="006D29D4">
              <w:t xml:space="preserve">6 </w:t>
            </w:r>
          </w:p>
        </w:tc>
        <w:tc>
          <w:tcPr>
            <w:tcW w:w="1278" w:type="dxa"/>
            <w:tcBorders>
              <w:top w:val="single" w:sz="8" w:space="0" w:color="8B6A94"/>
              <w:left w:val="single" w:sz="8" w:space="0" w:color="8B6A94"/>
              <w:bottom w:val="single" w:sz="8" w:space="0" w:color="8B6A94"/>
              <w:right w:val="single" w:sz="8" w:space="0" w:color="8B6A94"/>
            </w:tcBorders>
            <w:shd w:val="clear" w:color="auto" w:fill="EEEBEF"/>
            <w:tcMar>
              <w:top w:w="15" w:type="dxa"/>
              <w:left w:w="144" w:type="dxa"/>
              <w:bottom w:w="72" w:type="dxa"/>
              <w:right w:w="144" w:type="dxa"/>
            </w:tcMar>
            <w:hideMark/>
          </w:tcPr>
          <w:p w:rsidR="006D29D4" w:rsidRPr="006D29D4" w:rsidRDefault="006D29D4" w:rsidP="00EC6991">
            <w:pPr>
              <w:spacing w:after="0"/>
              <w:ind w:left="-1134" w:right="-1050"/>
              <w:jc w:val="center"/>
            </w:pPr>
            <w:r w:rsidRPr="006D29D4">
              <w:t xml:space="preserve">3 </w:t>
            </w:r>
          </w:p>
        </w:tc>
        <w:tc>
          <w:tcPr>
            <w:tcW w:w="1734" w:type="dxa"/>
            <w:tcBorders>
              <w:top w:val="single" w:sz="8" w:space="0" w:color="8B6A94"/>
              <w:left w:val="single" w:sz="8" w:space="0" w:color="8B6A94"/>
              <w:bottom w:val="single" w:sz="8" w:space="0" w:color="8B6A94"/>
              <w:right w:val="single" w:sz="8" w:space="0" w:color="8B6A94"/>
            </w:tcBorders>
            <w:shd w:val="clear" w:color="auto" w:fill="EEEBEF"/>
            <w:tcMar>
              <w:top w:w="15" w:type="dxa"/>
              <w:left w:w="144" w:type="dxa"/>
              <w:bottom w:w="72" w:type="dxa"/>
              <w:right w:w="144" w:type="dxa"/>
            </w:tcMar>
            <w:hideMark/>
          </w:tcPr>
          <w:p w:rsidR="006D29D4" w:rsidRPr="006D29D4" w:rsidRDefault="006D29D4" w:rsidP="00EC6991">
            <w:pPr>
              <w:spacing w:after="0"/>
              <w:ind w:left="-1134" w:right="-1050"/>
              <w:jc w:val="center"/>
            </w:pPr>
            <w:r w:rsidRPr="006D29D4">
              <w:t xml:space="preserve">0 </w:t>
            </w:r>
          </w:p>
        </w:tc>
        <w:tc>
          <w:tcPr>
            <w:tcW w:w="3256" w:type="dxa"/>
            <w:gridSpan w:val="2"/>
            <w:tcBorders>
              <w:top w:val="single" w:sz="8" w:space="0" w:color="8B6A94"/>
              <w:left w:val="single" w:sz="8" w:space="0" w:color="8B6A94"/>
              <w:bottom w:val="single" w:sz="8" w:space="0" w:color="8B6A94"/>
              <w:right w:val="single" w:sz="8" w:space="0" w:color="8B6A94"/>
            </w:tcBorders>
            <w:shd w:val="clear" w:color="auto" w:fill="EEEBEF"/>
            <w:tcMar>
              <w:top w:w="72" w:type="dxa"/>
              <w:left w:w="144" w:type="dxa"/>
              <w:bottom w:w="72" w:type="dxa"/>
              <w:right w:w="144" w:type="dxa"/>
            </w:tcMar>
            <w:hideMark/>
          </w:tcPr>
          <w:p w:rsidR="006D29D4" w:rsidRPr="006D29D4" w:rsidRDefault="006D29D4" w:rsidP="00EC6991">
            <w:pPr>
              <w:spacing w:after="0" w:line="240" w:lineRule="auto"/>
              <w:ind w:left="-1134" w:right="-1050"/>
              <w:jc w:val="center"/>
            </w:pPr>
            <w:r w:rsidRPr="006D29D4">
              <w:t>Portal vein branch invasion#</w:t>
            </w:r>
            <w:r w:rsidRPr="006D29D4">
              <w:rPr>
                <w:rtl/>
              </w:rPr>
              <w:t xml:space="preserve"> </w:t>
            </w:r>
          </w:p>
        </w:tc>
      </w:tr>
      <w:tr w:rsidR="006D29D4" w:rsidRPr="006D29D4" w:rsidTr="00632BA7">
        <w:trPr>
          <w:trHeight w:val="445"/>
        </w:trPr>
        <w:tc>
          <w:tcPr>
            <w:tcW w:w="1796" w:type="dxa"/>
            <w:vMerge w:val="restart"/>
            <w:tcBorders>
              <w:top w:val="single" w:sz="8" w:space="0" w:color="8B6A94"/>
              <w:left w:val="single" w:sz="8" w:space="0" w:color="8B6A94"/>
              <w:bottom w:val="single" w:sz="8" w:space="0" w:color="8B6A94"/>
              <w:right w:val="single" w:sz="8" w:space="0" w:color="8B6A94"/>
            </w:tcBorders>
            <w:shd w:val="clear" w:color="auto" w:fill="DAD4DC"/>
            <w:tcMar>
              <w:top w:w="72" w:type="dxa"/>
              <w:left w:w="144" w:type="dxa"/>
              <w:bottom w:w="72" w:type="dxa"/>
              <w:right w:w="144" w:type="dxa"/>
            </w:tcMar>
            <w:vAlign w:val="center"/>
            <w:hideMark/>
          </w:tcPr>
          <w:p w:rsidR="006D29D4" w:rsidRPr="006D29D4" w:rsidRDefault="006D29D4" w:rsidP="00EC6991">
            <w:pPr>
              <w:bidi w:val="0"/>
              <w:spacing w:after="0" w:line="240" w:lineRule="auto"/>
              <w:ind w:left="-1134" w:right="-1050"/>
              <w:jc w:val="center"/>
            </w:pPr>
            <w:r w:rsidRPr="006D29D4">
              <w:t>0.042*</w:t>
            </w:r>
            <w:r w:rsidRPr="006D29D4">
              <w:rPr>
                <w:rtl/>
              </w:rPr>
              <w:t xml:space="preserve"> </w:t>
            </w:r>
          </w:p>
        </w:tc>
        <w:tc>
          <w:tcPr>
            <w:tcW w:w="1496" w:type="dxa"/>
            <w:tcBorders>
              <w:top w:val="single" w:sz="8" w:space="0" w:color="8B6A94"/>
              <w:left w:val="single" w:sz="8" w:space="0" w:color="8B6A94"/>
              <w:bottom w:val="single" w:sz="8" w:space="0" w:color="8B6A94"/>
              <w:right w:val="single" w:sz="8" w:space="0" w:color="8B6A94"/>
            </w:tcBorders>
            <w:shd w:val="clear" w:color="auto" w:fill="DAD4DC"/>
            <w:tcMar>
              <w:top w:w="15" w:type="dxa"/>
              <w:left w:w="108" w:type="dxa"/>
              <w:bottom w:w="0" w:type="dxa"/>
              <w:right w:w="108" w:type="dxa"/>
            </w:tcMar>
            <w:hideMark/>
          </w:tcPr>
          <w:p w:rsidR="006D29D4" w:rsidRPr="006D29D4" w:rsidRDefault="006D29D4" w:rsidP="00EC6991">
            <w:pPr>
              <w:spacing w:after="0" w:line="240" w:lineRule="auto"/>
              <w:ind w:left="-1134" w:right="-1050"/>
              <w:jc w:val="center"/>
            </w:pPr>
            <w:r w:rsidRPr="006D29D4">
              <w:t xml:space="preserve">4 </w:t>
            </w:r>
          </w:p>
        </w:tc>
        <w:tc>
          <w:tcPr>
            <w:tcW w:w="1278" w:type="dxa"/>
            <w:tcBorders>
              <w:top w:val="single" w:sz="8" w:space="0" w:color="8B6A94"/>
              <w:left w:val="single" w:sz="8" w:space="0" w:color="8B6A94"/>
              <w:bottom w:val="single" w:sz="8" w:space="0" w:color="8B6A94"/>
              <w:right w:val="single" w:sz="8" w:space="0" w:color="8B6A94"/>
            </w:tcBorders>
            <w:shd w:val="clear" w:color="auto" w:fill="DAD4DC"/>
            <w:tcMar>
              <w:top w:w="15" w:type="dxa"/>
              <w:left w:w="144" w:type="dxa"/>
              <w:bottom w:w="72" w:type="dxa"/>
              <w:right w:w="144" w:type="dxa"/>
            </w:tcMar>
            <w:hideMark/>
          </w:tcPr>
          <w:p w:rsidR="006D29D4" w:rsidRPr="006D29D4" w:rsidRDefault="006D29D4" w:rsidP="00EC6991">
            <w:pPr>
              <w:bidi w:val="0"/>
              <w:spacing w:after="0" w:line="240" w:lineRule="auto"/>
              <w:ind w:left="-1134" w:right="-1050"/>
              <w:jc w:val="center"/>
            </w:pPr>
            <w:r w:rsidRPr="006D29D4">
              <w:t xml:space="preserve">6 </w:t>
            </w:r>
          </w:p>
        </w:tc>
        <w:tc>
          <w:tcPr>
            <w:tcW w:w="1734" w:type="dxa"/>
            <w:tcBorders>
              <w:top w:val="single" w:sz="8" w:space="0" w:color="8B6A94"/>
              <w:left w:val="single" w:sz="8" w:space="0" w:color="8B6A94"/>
              <w:bottom w:val="single" w:sz="8" w:space="0" w:color="8B6A94"/>
              <w:right w:val="single" w:sz="8" w:space="0" w:color="8B6A94"/>
            </w:tcBorders>
            <w:shd w:val="clear" w:color="auto" w:fill="DAD4DC"/>
            <w:tcMar>
              <w:top w:w="15" w:type="dxa"/>
              <w:left w:w="144" w:type="dxa"/>
              <w:bottom w:w="72" w:type="dxa"/>
              <w:right w:w="144" w:type="dxa"/>
            </w:tcMar>
            <w:hideMark/>
          </w:tcPr>
          <w:p w:rsidR="006D29D4" w:rsidRPr="006D29D4" w:rsidRDefault="006D29D4" w:rsidP="00EC6991">
            <w:pPr>
              <w:spacing w:after="0" w:line="240" w:lineRule="auto"/>
              <w:ind w:left="-1134" w:right="-1050"/>
              <w:jc w:val="center"/>
            </w:pPr>
            <w:r w:rsidRPr="006D29D4">
              <w:t xml:space="preserve">10 </w:t>
            </w:r>
          </w:p>
        </w:tc>
        <w:tc>
          <w:tcPr>
            <w:tcW w:w="1578" w:type="dxa"/>
            <w:tcBorders>
              <w:top w:val="single" w:sz="8" w:space="0" w:color="8B6A94"/>
              <w:left w:val="single" w:sz="8" w:space="0" w:color="8B6A94"/>
              <w:bottom w:val="single" w:sz="8" w:space="0" w:color="8B6A94"/>
              <w:right w:val="single" w:sz="8" w:space="0" w:color="8B6A94"/>
            </w:tcBorders>
            <w:shd w:val="clear" w:color="auto" w:fill="DAD4DC"/>
            <w:tcMar>
              <w:top w:w="72" w:type="dxa"/>
              <w:left w:w="144" w:type="dxa"/>
              <w:bottom w:w="72" w:type="dxa"/>
              <w:right w:w="144" w:type="dxa"/>
            </w:tcMar>
            <w:hideMark/>
          </w:tcPr>
          <w:p w:rsidR="006D29D4" w:rsidRPr="006D29D4" w:rsidRDefault="006D29D4" w:rsidP="00EC6991">
            <w:pPr>
              <w:spacing w:after="0" w:line="240" w:lineRule="auto"/>
              <w:ind w:left="-1134" w:right="-1050"/>
              <w:jc w:val="center"/>
            </w:pPr>
            <w:r w:rsidRPr="006D29D4">
              <w:t>A</w:t>
            </w:r>
            <w:r w:rsidRPr="006D29D4">
              <w:rPr>
                <w:rtl/>
              </w:rPr>
              <w:t xml:space="preserve"> </w:t>
            </w:r>
          </w:p>
        </w:tc>
        <w:tc>
          <w:tcPr>
            <w:tcW w:w="1678" w:type="dxa"/>
            <w:vMerge w:val="restart"/>
            <w:tcBorders>
              <w:top w:val="single" w:sz="8" w:space="0" w:color="8B6A94"/>
              <w:left w:val="single" w:sz="8" w:space="0" w:color="8B6A94"/>
              <w:bottom w:val="single" w:sz="8" w:space="0" w:color="8B6A94"/>
              <w:right w:val="single" w:sz="8" w:space="0" w:color="8B6A94"/>
            </w:tcBorders>
            <w:shd w:val="clear" w:color="auto" w:fill="DAD4DC"/>
            <w:tcMar>
              <w:top w:w="72" w:type="dxa"/>
              <w:left w:w="144" w:type="dxa"/>
              <w:bottom w:w="72" w:type="dxa"/>
              <w:right w:w="144" w:type="dxa"/>
            </w:tcMar>
            <w:vAlign w:val="center"/>
            <w:hideMark/>
          </w:tcPr>
          <w:p w:rsidR="006D29D4" w:rsidRPr="006D29D4" w:rsidRDefault="006D29D4" w:rsidP="00EC6991">
            <w:pPr>
              <w:spacing w:after="0" w:line="240" w:lineRule="auto"/>
              <w:ind w:left="-1134" w:right="-1050"/>
              <w:jc w:val="right"/>
            </w:pPr>
            <w:r w:rsidRPr="006D29D4">
              <w:t>BCLC</w:t>
            </w:r>
            <w:r w:rsidRPr="006D29D4">
              <w:rPr>
                <w:rtl/>
              </w:rPr>
              <w:t xml:space="preserve"> </w:t>
            </w:r>
          </w:p>
        </w:tc>
      </w:tr>
      <w:tr w:rsidR="006D29D4" w:rsidRPr="006D29D4" w:rsidTr="00632BA7">
        <w:trPr>
          <w:trHeight w:val="445"/>
        </w:trPr>
        <w:tc>
          <w:tcPr>
            <w:tcW w:w="0" w:type="auto"/>
            <w:vMerge/>
            <w:tcBorders>
              <w:top w:val="single" w:sz="8" w:space="0" w:color="8B6A94"/>
              <w:left w:val="single" w:sz="8" w:space="0" w:color="8B6A94"/>
              <w:bottom w:val="single" w:sz="8" w:space="0" w:color="8B6A94"/>
              <w:right w:val="single" w:sz="8" w:space="0" w:color="8B6A94"/>
            </w:tcBorders>
            <w:vAlign w:val="center"/>
            <w:hideMark/>
          </w:tcPr>
          <w:p w:rsidR="006D29D4" w:rsidRPr="006D29D4" w:rsidRDefault="006D29D4" w:rsidP="00EC6991">
            <w:pPr>
              <w:bidi w:val="0"/>
              <w:spacing w:after="0" w:line="240" w:lineRule="auto"/>
              <w:ind w:left="-1134" w:right="-1050"/>
            </w:pPr>
          </w:p>
        </w:tc>
        <w:tc>
          <w:tcPr>
            <w:tcW w:w="1496" w:type="dxa"/>
            <w:tcBorders>
              <w:top w:val="single" w:sz="8" w:space="0" w:color="8B6A94"/>
              <w:left w:val="single" w:sz="8" w:space="0" w:color="8B6A94"/>
              <w:bottom w:val="single" w:sz="8" w:space="0" w:color="8B6A94"/>
              <w:right w:val="single" w:sz="8" w:space="0" w:color="8B6A94"/>
            </w:tcBorders>
            <w:shd w:val="clear" w:color="auto" w:fill="EEEBEF"/>
            <w:tcMar>
              <w:top w:w="15" w:type="dxa"/>
              <w:left w:w="108" w:type="dxa"/>
              <w:bottom w:w="0" w:type="dxa"/>
              <w:right w:w="108" w:type="dxa"/>
            </w:tcMar>
            <w:hideMark/>
          </w:tcPr>
          <w:p w:rsidR="006D29D4" w:rsidRPr="006D29D4" w:rsidRDefault="006D29D4" w:rsidP="00EC6991">
            <w:pPr>
              <w:spacing w:after="0" w:line="240" w:lineRule="auto"/>
              <w:ind w:left="-1134" w:right="-1050"/>
              <w:jc w:val="center"/>
            </w:pPr>
            <w:r w:rsidRPr="006D29D4">
              <w:t xml:space="preserve">10 </w:t>
            </w:r>
          </w:p>
        </w:tc>
        <w:tc>
          <w:tcPr>
            <w:tcW w:w="1278" w:type="dxa"/>
            <w:tcBorders>
              <w:top w:val="single" w:sz="8" w:space="0" w:color="8B6A94"/>
              <w:left w:val="single" w:sz="8" w:space="0" w:color="8B6A94"/>
              <w:bottom w:val="single" w:sz="8" w:space="0" w:color="8B6A94"/>
              <w:right w:val="single" w:sz="8" w:space="0" w:color="8B6A94"/>
            </w:tcBorders>
            <w:shd w:val="clear" w:color="auto" w:fill="EEEBEF"/>
            <w:tcMar>
              <w:top w:w="15" w:type="dxa"/>
              <w:left w:w="108" w:type="dxa"/>
              <w:bottom w:w="0" w:type="dxa"/>
              <w:right w:w="108" w:type="dxa"/>
            </w:tcMar>
            <w:hideMark/>
          </w:tcPr>
          <w:p w:rsidR="006D29D4" w:rsidRPr="006D29D4" w:rsidRDefault="006D29D4" w:rsidP="00EC6991">
            <w:pPr>
              <w:spacing w:after="0" w:line="240" w:lineRule="auto"/>
              <w:ind w:left="-1134" w:right="-1050"/>
              <w:jc w:val="center"/>
            </w:pPr>
            <w:r w:rsidRPr="006D29D4">
              <w:t xml:space="preserve">8 </w:t>
            </w:r>
          </w:p>
        </w:tc>
        <w:tc>
          <w:tcPr>
            <w:tcW w:w="1734" w:type="dxa"/>
            <w:tcBorders>
              <w:top w:val="single" w:sz="8" w:space="0" w:color="8B6A94"/>
              <w:left w:val="single" w:sz="8" w:space="0" w:color="8B6A94"/>
              <w:bottom w:val="single" w:sz="8" w:space="0" w:color="8B6A94"/>
              <w:right w:val="single" w:sz="8" w:space="0" w:color="8B6A94"/>
            </w:tcBorders>
            <w:shd w:val="clear" w:color="auto" w:fill="EEEBEF"/>
            <w:tcMar>
              <w:top w:w="15" w:type="dxa"/>
              <w:left w:w="108" w:type="dxa"/>
              <w:bottom w:w="0" w:type="dxa"/>
              <w:right w:w="108" w:type="dxa"/>
            </w:tcMar>
            <w:hideMark/>
          </w:tcPr>
          <w:p w:rsidR="006D29D4" w:rsidRPr="006D29D4" w:rsidRDefault="006D29D4" w:rsidP="00EC6991">
            <w:pPr>
              <w:spacing w:after="0" w:line="240" w:lineRule="auto"/>
              <w:ind w:left="-1134" w:right="-1050"/>
              <w:jc w:val="center"/>
            </w:pPr>
            <w:r w:rsidRPr="006D29D4">
              <w:t xml:space="preserve">15 </w:t>
            </w:r>
          </w:p>
        </w:tc>
        <w:tc>
          <w:tcPr>
            <w:tcW w:w="1578" w:type="dxa"/>
            <w:tcBorders>
              <w:top w:val="single" w:sz="8" w:space="0" w:color="8B6A94"/>
              <w:left w:val="single" w:sz="8" w:space="0" w:color="8B6A94"/>
              <w:bottom w:val="single" w:sz="8" w:space="0" w:color="8B6A94"/>
              <w:right w:val="single" w:sz="8" w:space="0" w:color="8B6A94"/>
            </w:tcBorders>
            <w:shd w:val="clear" w:color="auto" w:fill="EEEBEF"/>
            <w:tcMar>
              <w:top w:w="72" w:type="dxa"/>
              <w:left w:w="144" w:type="dxa"/>
              <w:bottom w:w="72" w:type="dxa"/>
              <w:right w:w="144" w:type="dxa"/>
            </w:tcMar>
            <w:hideMark/>
          </w:tcPr>
          <w:p w:rsidR="006D29D4" w:rsidRPr="006D29D4" w:rsidRDefault="006D29D4" w:rsidP="00EC6991">
            <w:pPr>
              <w:spacing w:after="0" w:line="240" w:lineRule="auto"/>
              <w:ind w:left="-1134" w:right="-1050"/>
              <w:jc w:val="center"/>
            </w:pPr>
            <w:r w:rsidRPr="006D29D4">
              <w:t>B</w:t>
            </w:r>
            <w:r w:rsidRPr="006D29D4">
              <w:rPr>
                <w:rtl/>
              </w:rPr>
              <w:t xml:space="preserve"> </w:t>
            </w:r>
          </w:p>
        </w:tc>
        <w:tc>
          <w:tcPr>
            <w:tcW w:w="0" w:type="auto"/>
            <w:vMerge/>
            <w:tcBorders>
              <w:top w:val="single" w:sz="8" w:space="0" w:color="8B6A94"/>
              <w:left w:val="single" w:sz="8" w:space="0" w:color="8B6A94"/>
              <w:bottom w:val="single" w:sz="8" w:space="0" w:color="8B6A94"/>
              <w:right w:val="single" w:sz="8" w:space="0" w:color="8B6A94"/>
            </w:tcBorders>
            <w:vAlign w:val="center"/>
            <w:hideMark/>
          </w:tcPr>
          <w:p w:rsidR="006D29D4" w:rsidRPr="006D29D4" w:rsidRDefault="006D29D4" w:rsidP="00EC6991">
            <w:pPr>
              <w:bidi w:val="0"/>
              <w:spacing w:after="0" w:line="240" w:lineRule="auto"/>
              <w:ind w:left="-1134" w:right="-1050"/>
            </w:pPr>
          </w:p>
        </w:tc>
      </w:tr>
      <w:tr w:rsidR="006D29D4" w:rsidRPr="006D29D4" w:rsidTr="00632BA7">
        <w:trPr>
          <w:trHeight w:val="445"/>
        </w:trPr>
        <w:tc>
          <w:tcPr>
            <w:tcW w:w="0" w:type="auto"/>
            <w:vMerge/>
            <w:tcBorders>
              <w:top w:val="single" w:sz="8" w:space="0" w:color="8B6A94"/>
              <w:left w:val="single" w:sz="8" w:space="0" w:color="8B6A94"/>
              <w:bottom w:val="single" w:sz="8" w:space="0" w:color="8B6A94"/>
              <w:right w:val="single" w:sz="8" w:space="0" w:color="8B6A94"/>
            </w:tcBorders>
            <w:vAlign w:val="center"/>
            <w:hideMark/>
          </w:tcPr>
          <w:p w:rsidR="006D29D4" w:rsidRPr="006D29D4" w:rsidRDefault="006D29D4" w:rsidP="00EC6991">
            <w:pPr>
              <w:bidi w:val="0"/>
              <w:spacing w:after="0" w:line="240" w:lineRule="auto"/>
              <w:ind w:left="-1134" w:right="-1050"/>
            </w:pPr>
          </w:p>
        </w:tc>
        <w:tc>
          <w:tcPr>
            <w:tcW w:w="1496" w:type="dxa"/>
            <w:tcBorders>
              <w:top w:val="single" w:sz="8" w:space="0" w:color="8B6A94"/>
              <w:left w:val="single" w:sz="8" w:space="0" w:color="8B6A94"/>
              <w:bottom w:val="single" w:sz="8" w:space="0" w:color="8B6A94"/>
              <w:right w:val="single" w:sz="8" w:space="0" w:color="8B6A94"/>
            </w:tcBorders>
            <w:shd w:val="clear" w:color="auto" w:fill="DAD4DC"/>
            <w:tcMar>
              <w:top w:w="15" w:type="dxa"/>
              <w:left w:w="108" w:type="dxa"/>
              <w:bottom w:w="0" w:type="dxa"/>
              <w:right w:w="108" w:type="dxa"/>
            </w:tcMar>
            <w:hideMark/>
          </w:tcPr>
          <w:p w:rsidR="006D29D4" w:rsidRPr="006D29D4" w:rsidRDefault="006D29D4" w:rsidP="00EC6991">
            <w:pPr>
              <w:spacing w:after="0" w:line="240" w:lineRule="auto"/>
              <w:ind w:left="-1134" w:right="-1050"/>
              <w:jc w:val="center"/>
            </w:pPr>
            <w:r w:rsidRPr="006D29D4">
              <w:t xml:space="preserve">6 </w:t>
            </w:r>
          </w:p>
        </w:tc>
        <w:tc>
          <w:tcPr>
            <w:tcW w:w="1278" w:type="dxa"/>
            <w:tcBorders>
              <w:top w:val="single" w:sz="8" w:space="0" w:color="8B6A94"/>
              <w:left w:val="single" w:sz="8" w:space="0" w:color="8B6A94"/>
              <w:bottom w:val="single" w:sz="8" w:space="0" w:color="8B6A94"/>
              <w:right w:val="single" w:sz="8" w:space="0" w:color="8B6A94"/>
            </w:tcBorders>
            <w:shd w:val="clear" w:color="auto" w:fill="DAD4DC"/>
            <w:tcMar>
              <w:top w:w="15" w:type="dxa"/>
              <w:left w:w="108" w:type="dxa"/>
              <w:bottom w:w="0" w:type="dxa"/>
              <w:right w:w="108" w:type="dxa"/>
            </w:tcMar>
            <w:hideMark/>
          </w:tcPr>
          <w:p w:rsidR="006D29D4" w:rsidRPr="006D29D4" w:rsidRDefault="006D29D4" w:rsidP="00EC6991">
            <w:pPr>
              <w:spacing w:after="0" w:line="240" w:lineRule="auto"/>
              <w:ind w:left="-1134" w:right="-1050"/>
              <w:jc w:val="center"/>
            </w:pPr>
            <w:r w:rsidRPr="006D29D4">
              <w:t xml:space="preserve">3 </w:t>
            </w:r>
          </w:p>
        </w:tc>
        <w:tc>
          <w:tcPr>
            <w:tcW w:w="1734" w:type="dxa"/>
            <w:tcBorders>
              <w:top w:val="single" w:sz="8" w:space="0" w:color="8B6A94"/>
              <w:left w:val="single" w:sz="8" w:space="0" w:color="8B6A94"/>
              <w:bottom w:val="single" w:sz="8" w:space="0" w:color="8B6A94"/>
              <w:right w:val="single" w:sz="8" w:space="0" w:color="8B6A94"/>
            </w:tcBorders>
            <w:shd w:val="clear" w:color="auto" w:fill="DAD4DC"/>
            <w:tcMar>
              <w:top w:w="15" w:type="dxa"/>
              <w:left w:w="108" w:type="dxa"/>
              <w:bottom w:w="0" w:type="dxa"/>
              <w:right w:w="108" w:type="dxa"/>
            </w:tcMar>
            <w:hideMark/>
          </w:tcPr>
          <w:p w:rsidR="006D29D4" w:rsidRPr="006D29D4" w:rsidRDefault="006D29D4" w:rsidP="00EC6991">
            <w:pPr>
              <w:spacing w:after="0" w:line="240" w:lineRule="auto"/>
              <w:ind w:left="-1134" w:right="-1050"/>
              <w:jc w:val="center"/>
            </w:pPr>
            <w:r w:rsidRPr="006D29D4">
              <w:t xml:space="preserve">0 </w:t>
            </w:r>
          </w:p>
        </w:tc>
        <w:tc>
          <w:tcPr>
            <w:tcW w:w="1578" w:type="dxa"/>
            <w:tcBorders>
              <w:top w:val="single" w:sz="8" w:space="0" w:color="8B6A94"/>
              <w:left w:val="single" w:sz="8" w:space="0" w:color="8B6A94"/>
              <w:bottom w:val="single" w:sz="8" w:space="0" w:color="8B6A94"/>
              <w:right w:val="single" w:sz="8" w:space="0" w:color="8B6A94"/>
            </w:tcBorders>
            <w:shd w:val="clear" w:color="auto" w:fill="DAD4DC"/>
            <w:tcMar>
              <w:top w:w="72" w:type="dxa"/>
              <w:left w:w="144" w:type="dxa"/>
              <w:bottom w:w="72" w:type="dxa"/>
              <w:right w:w="144" w:type="dxa"/>
            </w:tcMar>
            <w:hideMark/>
          </w:tcPr>
          <w:p w:rsidR="006D29D4" w:rsidRPr="006D29D4" w:rsidRDefault="006D29D4" w:rsidP="00EC6991">
            <w:pPr>
              <w:spacing w:after="0" w:line="240" w:lineRule="auto"/>
              <w:ind w:left="-1134" w:right="-1050"/>
              <w:jc w:val="center"/>
            </w:pPr>
            <w:r w:rsidRPr="006D29D4">
              <w:t>C</w:t>
            </w:r>
            <w:r w:rsidRPr="006D29D4">
              <w:rPr>
                <w:rtl/>
              </w:rPr>
              <w:t xml:space="preserve"> </w:t>
            </w:r>
          </w:p>
        </w:tc>
        <w:tc>
          <w:tcPr>
            <w:tcW w:w="0" w:type="auto"/>
            <w:vMerge/>
            <w:tcBorders>
              <w:top w:val="single" w:sz="8" w:space="0" w:color="8B6A94"/>
              <w:left w:val="single" w:sz="8" w:space="0" w:color="8B6A94"/>
              <w:bottom w:val="single" w:sz="8" w:space="0" w:color="8B6A94"/>
              <w:right w:val="single" w:sz="8" w:space="0" w:color="8B6A94"/>
            </w:tcBorders>
            <w:vAlign w:val="center"/>
            <w:hideMark/>
          </w:tcPr>
          <w:p w:rsidR="006D29D4" w:rsidRPr="006D29D4" w:rsidRDefault="006D29D4" w:rsidP="00EC6991">
            <w:pPr>
              <w:bidi w:val="0"/>
              <w:spacing w:after="0" w:line="240" w:lineRule="auto"/>
              <w:ind w:left="-1134" w:right="-1050"/>
            </w:pPr>
          </w:p>
        </w:tc>
      </w:tr>
      <w:tr w:rsidR="006D29D4" w:rsidRPr="006D29D4" w:rsidTr="00632BA7">
        <w:trPr>
          <w:trHeight w:val="1379"/>
        </w:trPr>
        <w:tc>
          <w:tcPr>
            <w:tcW w:w="1796" w:type="dxa"/>
            <w:tcBorders>
              <w:top w:val="single" w:sz="8" w:space="0" w:color="8B6A94"/>
              <w:left w:val="single" w:sz="8" w:space="0" w:color="8B6A94"/>
              <w:bottom w:val="single" w:sz="8" w:space="0" w:color="8B6A94"/>
              <w:right w:val="single" w:sz="8" w:space="0" w:color="8B6A94"/>
            </w:tcBorders>
            <w:shd w:val="clear" w:color="auto" w:fill="EEEBEF"/>
            <w:tcMar>
              <w:top w:w="72" w:type="dxa"/>
              <w:left w:w="144" w:type="dxa"/>
              <w:bottom w:w="72" w:type="dxa"/>
              <w:right w:w="144" w:type="dxa"/>
            </w:tcMar>
            <w:vAlign w:val="center"/>
            <w:hideMark/>
          </w:tcPr>
          <w:p w:rsidR="006D29D4" w:rsidRPr="006D29D4" w:rsidRDefault="006D29D4" w:rsidP="00EC6991">
            <w:pPr>
              <w:bidi w:val="0"/>
              <w:spacing w:after="0" w:line="240" w:lineRule="auto"/>
              <w:ind w:left="-1134" w:right="-1050"/>
              <w:jc w:val="center"/>
            </w:pPr>
            <w:r w:rsidRPr="006D29D4">
              <w:t>*0.024</w:t>
            </w:r>
            <w:r w:rsidRPr="006D29D4">
              <w:rPr>
                <w:rtl/>
              </w:rPr>
              <w:t xml:space="preserve"> </w:t>
            </w:r>
          </w:p>
        </w:tc>
        <w:tc>
          <w:tcPr>
            <w:tcW w:w="1496" w:type="dxa"/>
            <w:tcBorders>
              <w:top w:val="single" w:sz="8" w:space="0" w:color="8B6A94"/>
              <w:left w:val="single" w:sz="8" w:space="0" w:color="8B6A94"/>
              <w:bottom w:val="single" w:sz="8" w:space="0" w:color="8B6A94"/>
              <w:right w:val="single" w:sz="8" w:space="0" w:color="8B6A94"/>
            </w:tcBorders>
            <w:shd w:val="clear" w:color="auto" w:fill="EEEBEF"/>
            <w:tcMar>
              <w:top w:w="15" w:type="dxa"/>
              <w:left w:w="108" w:type="dxa"/>
              <w:bottom w:w="0" w:type="dxa"/>
              <w:right w:w="108" w:type="dxa"/>
            </w:tcMar>
            <w:hideMark/>
          </w:tcPr>
          <w:p w:rsidR="006D29D4" w:rsidRPr="006D29D4" w:rsidRDefault="006D29D4" w:rsidP="00EC6991">
            <w:pPr>
              <w:bidi w:val="0"/>
              <w:spacing w:after="0" w:line="336" w:lineRule="auto"/>
              <w:ind w:left="-1134" w:right="-1050"/>
              <w:jc w:val="center"/>
            </w:pPr>
            <w:r w:rsidRPr="006D29D4">
              <w:t xml:space="preserve">52.07 + 46.62 </w:t>
            </w:r>
          </w:p>
        </w:tc>
        <w:tc>
          <w:tcPr>
            <w:tcW w:w="1278" w:type="dxa"/>
            <w:tcBorders>
              <w:top w:val="single" w:sz="8" w:space="0" w:color="8B6A94"/>
              <w:left w:val="single" w:sz="8" w:space="0" w:color="8B6A94"/>
              <w:bottom w:val="single" w:sz="8" w:space="0" w:color="8B6A94"/>
              <w:right w:val="single" w:sz="8" w:space="0" w:color="8B6A94"/>
            </w:tcBorders>
            <w:shd w:val="clear" w:color="auto" w:fill="EEEBEF"/>
            <w:tcMar>
              <w:top w:w="15" w:type="dxa"/>
              <w:left w:w="144" w:type="dxa"/>
              <w:bottom w:w="72" w:type="dxa"/>
              <w:right w:w="144" w:type="dxa"/>
            </w:tcMar>
            <w:hideMark/>
          </w:tcPr>
          <w:p w:rsidR="006D29D4" w:rsidRPr="006D29D4" w:rsidRDefault="006D29D4" w:rsidP="00EC6991">
            <w:pPr>
              <w:spacing w:after="0" w:line="336" w:lineRule="auto"/>
              <w:ind w:left="-1134" w:right="-1050"/>
              <w:jc w:val="center"/>
            </w:pPr>
            <w:r w:rsidRPr="006D29D4">
              <w:t xml:space="preserve">40.39 + 45.07 </w:t>
            </w:r>
          </w:p>
        </w:tc>
        <w:tc>
          <w:tcPr>
            <w:tcW w:w="1734" w:type="dxa"/>
            <w:tcBorders>
              <w:top w:val="single" w:sz="8" w:space="0" w:color="8B6A94"/>
              <w:left w:val="single" w:sz="8" w:space="0" w:color="8B6A94"/>
              <w:bottom w:val="single" w:sz="8" w:space="0" w:color="8B6A94"/>
              <w:right w:val="single" w:sz="8" w:space="0" w:color="8B6A94"/>
            </w:tcBorders>
            <w:shd w:val="clear" w:color="auto" w:fill="EEEBEF"/>
            <w:tcMar>
              <w:top w:w="15" w:type="dxa"/>
              <w:left w:w="144" w:type="dxa"/>
              <w:bottom w:w="72" w:type="dxa"/>
              <w:right w:w="144" w:type="dxa"/>
            </w:tcMar>
            <w:hideMark/>
          </w:tcPr>
          <w:p w:rsidR="006D29D4" w:rsidRPr="006D29D4" w:rsidRDefault="006D29D4" w:rsidP="00EC6991">
            <w:pPr>
              <w:spacing w:after="0" w:line="336" w:lineRule="auto"/>
              <w:ind w:left="-1134" w:right="-1050"/>
              <w:jc w:val="center"/>
            </w:pPr>
            <w:r w:rsidRPr="006D29D4">
              <w:t xml:space="preserve">    20.73 + 14.15 </w:t>
            </w:r>
          </w:p>
        </w:tc>
        <w:tc>
          <w:tcPr>
            <w:tcW w:w="3256" w:type="dxa"/>
            <w:gridSpan w:val="2"/>
            <w:tcBorders>
              <w:top w:val="single" w:sz="8" w:space="0" w:color="8B6A94"/>
              <w:left w:val="single" w:sz="8" w:space="0" w:color="8B6A94"/>
              <w:bottom w:val="single" w:sz="8" w:space="0" w:color="8B6A94"/>
              <w:right w:val="single" w:sz="8" w:space="0" w:color="8B6A94"/>
            </w:tcBorders>
            <w:shd w:val="clear" w:color="auto" w:fill="EEEBEF"/>
            <w:tcMar>
              <w:top w:w="72" w:type="dxa"/>
              <w:left w:w="144" w:type="dxa"/>
              <w:bottom w:w="72" w:type="dxa"/>
              <w:right w:w="144" w:type="dxa"/>
            </w:tcMar>
            <w:hideMark/>
          </w:tcPr>
          <w:p w:rsidR="006D29D4" w:rsidRPr="006D29D4" w:rsidRDefault="006D29D4" w:rsidP="00EC6991">
            <w:pPr>
              <w:bidi w:val="0"/>
              <w:spacing w:after="0" w:line="240" w:lineRule="auto"/>
              <w:ind w:left="-1134" w:right="-1050"/>
              <w:jc w:val="center"/>
            </w:pPr>
            <w:r w:rsidRPr="006D29D4">
              <w:t>Size of tumor  (2 dimensions)</w:t>
            </w:r>
            <w:r w:rsidRPr="006D29D4">
              <w:br/>
              <w:t>(cm2)</w:t>
            </w:r>
            <w:r w:rsidRPr="006D29D4">
              <w:rPr>
                <w:rtl/>
              </w:rPr>
              <w:t xml:space="preserve"> </w:t>
            </w:r>
            <w:r w:rsidRPr="006D29D4">
              <w:t xml:space="preserve">Mean + SD </w:t>
            </w:r>
          </w:p>
        </w:tc>
      </w:tr>
      <w:tr w:rsidR="006D29D4" w:rsidRPr="006D29D4" w:rsidTr="00632BA7">
        <w:trPr>
          <w:trHeight w:val="953"/>
        </w:trPr>
        <w:tc>
          <w:tcPr>
            <w:tcW w:w="1796" w:type="dxa"/>
            <w:vMerge w:val="restart"/>
            <w:tcBorders>
              <w:top w:val="single" w:sz="8" w:space="0" w:color="8B6A94"/>
              <w:left w:val="single" w:sz="8" w:space="0" w:color="8B6A94"/>
              <w:bottom w:val="single" w:sz="8" w:space="0" w:color="8B6A94"/>
              <w:right w:val="single" w:sz="8" w:space="0" w:color="8B6A94"/>
            </w:tcBorders>
            <w:shd w:val="clear" w:color="auto" w:fill="DAD4DC"/>
            <w:tcMar>
              <w:top w:w="72" w:type="dxa"/>
              <w:left w:w="144" w:type="dxa"/>
              <w:bottom w:w="72" w:type="dxa"/>
              <w:right w:w="144" w:type="dxa"/>
            </w:tcMar>
            <w:vAlign w:val="center"/>
            <w:hideMark/>
          </w:tcPr>
          <w:p w:rsidR="006D29D4" w:rsidRPr="006D29D4" w:rsidRDefault="006D29D4" w:rsidP="00EC6991">
            <w:pPr>
              <w:bidi w:val="0"/>
              <w:spacing w:after="0" w:line="240" w:lineRule="auto"/>
              <w:ind w:left="-1134" w:right="-1050"/>
              <w:jc w:val="center"/>
            </w:pPr>
            <w:r w:rsidRPr="006D29D4">
              <w:t>*0.001</w:t>
            </w:r>
            <w:r w:rsidRPr="006D29D4">
              <w:rPr>
                <w:rtl/>
              </w:rPr>
              <w:t xml:space="preserve"> </w:t>
            </w:r>
          </w:p>
        </w:tc>
        <w:tc>
          <w:tcPr>
            <w:tcW w:w="1496" w:type="dxa"/>
            <w:tcBorders>
              <w:top w:val="single" w:sz="8" w:space="0" w:color="8B6A94"/>
              <w:left w:val="single" w:sz="8" w:space="0" w:color="8B6A94"/>
              <w:bottom w:val="single" w:sz="8" w:space="0" w:color="8B6A94"/>
              <w:right w:val="single" w:sz="8" w:space="0" w:color="8B6A94"/>
            </w:tcBorders>
            <w:shd w:val="clear" w:color="auto" w:fill="DAD4DC"/>
            <w:tcMar>
              <w:top w:w="15" w:type="dxa"/>
              <w:left w:w="108" w:type="dxa"/>
              <w:bottom w:w="0" w:type="dxa"/>
              <w:right w:w="108" w:type="dxa"/>
            </w:tcMar>
            <w:vAlign w:val="center"/>
            <w:hideMark/>
          </w:tcPr>
          <w:p w:rsidR="006D29D4" w:rsidRPr="006D29D4" w:rsidRDefault="006D29D4" w:rsidP="00EC6991">
            <w:pPr>
              <w:spacing w:after="0" w:line="240" w:lineRule="auto"/>
              <w:ind w:left="-1134" w:right="-1050"/>
              <w:jc w:val="center"/>
            </w:pPr>
            <w:r w:rsidRPr="006D29D4">
              <w:t xml:space="preserve">9 </w:t>
            </w:r>
          </w:p>
        </w:tc>
        <w:tc>
          <w:tcPr>
            <w:tcW w:w="1278" w:type="dxa"/>
            <w:tcBorders>
              <w:top w:val="single" w:sz="8" w:space="0" w:color="8B6A94"/>
              <w:left w:val="single" w:sz="8" w:space="0" w:color="8B6A94"/>
              <w:bottom w:val="single" w:sz="8" w:space="0" w:color="8B6A94"/>
              <w:right w:val="single" w:sz="8" w:space="0" w:color="8B6A94"/>
            </w:tcBorders>
            <w:shd w:val="clear" w:color="auto" w:fill="DAD4DC"/>
            <w:tcMar>
              <w:top w:w="15" w:type="dxa"/>
              <w:left w:w="144" w:type="dxa"/>
              <w:bottom w:w="72" w:type="dxa"/>
              <w:right w:w="144" w:type="dxa"/>
            </w:tcMar>
            <w:vAlign w:val="center"/>
            <w:hideMark/>
          </w:tcPr>
          <w:p w:rsidR="006D29D4" w:rsidRPr="006D29D4" w:rsidRDefault="006D29D4" w:rsidP="00EC6991">
            <w:pPr>
              <w:spacing w:after="0" w:line="240" w:lineRule="auto"/>
              <w:ind w:left="-1134" w:right="-1050"/>
              <w:jc w:val="center"/>
            </w:pPr>
            <w:r w:rsidRPr="006D29D4">
              <w:t xml:space="preserve">9 </w:t>
            </w:r>
          </w:p>
        </w:tc>
        <w:tc>
          <w:tcPr>
            <w:tcW w:w="1734" w:type="dxa"/>
            <w:tcBorders>
              <w:top w:val="single" w:sz="8" w:space="0" w:color="8B6A94"/>
              <w:left w:val="single" w:sz="8" w:space="0" w:color="8B6A94"/>
              <w:bottom w:val="single" w:sz="8" w:space="0" w:color="8B6A94"/>
              <w:right w:val="single" w:sz="8" w:space="0" w:color="8B6A94"/>
            </w:tcBorders>
            <w:shd w:val="clear" w:color="auto" w:fill="DAD4DC"/>
            <w:tcMar>
              <w:top w:w="15" w:type="dxa"/>
              <w:left w:w="144" w:type="dxa"/>
              <w:bottom w:w="72" w:type="dxa"/>
              <w:right w:w="144" w:type="dxa"/>
            </w:tcMar>
            <w:vAlign w:val="center"/>
            <w:hideMark/>
          </w:tcPr>
          <w:p w:rsidR="006D29D4" w:rsidRPr="006D29D4" w:rsidRDefault="006D29D4" w:rsidP="00EC6991">
            <w:pPr>
              <w:spacing w:after="0" w:line="240" w:lineRule="auto"/>
              <w:ind w:left="-1134" w:right="-1050"/>
              <w:jc w:val="center"/>
            </w:pPr>
            <w:r w:rsidRPr="006D29D4">
              <w:t xml:space="preserve">23 </w:t>
            </w:r>
          </w:p>
        </w:tc>
        <w:tc>
          <w:tcPr>
            <w:tcW w:w="1578" w:type="dxa"/>
            <w:tcBorders>
              <w:top w:val="single" w:sz="8" w:space="0" w:color="8B6A94"/>
              <w:left w:val="single" w:sz="8" w:space="0" w:color="8B6A94"/>
              <w:bottom w:val="single" w:sz="8" w:space="0" w:color="8B6A94"/>
              <w:right w:val="single" w:sz="8" w:space="0" w:color="8B6A94"/>
            </w:tcBorders>
            <w:shd w:val="clear" w:color="auto" w:fill="DAD4DC"/>
            <w:tcMar>
              <w:top w:w="72" w:type="dxa"/>
              <w:left w:w="144" w:type="dxa"/>
              <w:bottom w:w="72" w:type="dxa"/>
              <w:right w:w="144" w:type="dxa"/>
            </w:tcMar>
            <w:hideMark/>
          </w:tcPr>
          <w:p w:rsidR="006D29D4" w:rsidRPr="006D29D4" w:rsidRDefault="006D29D4" w:rsidP="00EC6991">
            <w:pPr>
              <w:spacing w:after="0" w:line="240" w:lineRule="auto"/>
              <w:ind w:left="-1134" w:right="-1050"/>
              <w:jc w:val="center"/>
            </w:pPr>
            <w:r w:rsidRPr="006D29D4">
              <w:t>Super-selective</w:t>
            </w:r>
            <w:r w:rsidRPr="006D29D4">
              <w:rPr>
                <w:rtl/>
              </w:rPr>
              <w:t xml:space="preserve"> </w:t>
            </w:r>
          </w:p>
        </w:tc>
        <w:tc>
          <w:tcPr>
            <w:tcW w:w="1678" w:type="dxa"/>
            <w:vMerge w:val="restart"/>
            <w:tcBorders>
              <w:top w:val="single" w:sz="8" w:space="0" w:color="8B6A94"/>
              <w:left w:val="single" w:sz="8" w:space="0" w:color="8B6A94"/>
              <w:bottom w:val="single" w:sz="8" w:space="0" w:color="8B6A94"/>
              <w:right w:val="single" w:sz="8" w:space="0" w:color="8B6A94"/>
            </w:tcBorders>
            <w:shd w:val="clear" w:color="auto" w:fill="DAD4DC"/>
            <w:tcMar>
              <w:top w:w="72" w:type="dxa"/>
              <w:left w:w="144" w:type="dxa"/>
              <w:bottom w:w="72" w:type="dxa"/>
              <w:right w:w="144" w:type="dxa"/>
            </w:tcMar>
            <w:vAlign w:val="center"/>
            <w:hideMark/>
          </w:tcPr>
          <w:p w:rsidR="006D29D4" w:rsidRPr="006D29D4" w:rsidRDefault="006D29D4" w:rsidP="00EC6991">
            <w:pPr>
              <w:spacing w:after="0" w:line="240" w:lineRule="auto"/>
              <w:ind w:left="-1134" w:right="-1050"/>
              <w:jc w:val="center"/>
            </w:pPr>
            <w:r w:rsidRPr="006D29D4">
              <w:t>TACE procedure</w:t>
            </w:r>
            <w:r w:rsidRPr="006D29D4">
              <w:rPr>
                <w:rtl/>
              </w:rPr>
              <w:t xml:space="preserve"> </w:t>
            </w:r>
          </w:p>
        </w:tc>
      </w:tr>
      <w:tr w:rsidR="006D29D4" w:rsidRPr="006D29D4" w:rsidTr="00632BA7">
        <w:trPr>
          <w:trHeight w:val="675"/>
        </w:trPr>
        <w:tc>
          <w:tcPr>
            <w:tcW w:w="0" w:type="auto"/>
            <w:vMerge/>
            <w:tcBorders>
              <w:top w:val="single" w:sz="8" w:space="0" w:color="8B6A94"/>
              <w:left w:val="single" w:sz="8" w:space="0" w:color="8B6A94"/>
              <w:bottom w:val="single" w:sz="8" w:space="0" w:color="8B6A94"/>
              <w:right w:val="single" w:sz="8" w:space="0" w:color="8B6A94"/>
            </w:tcBorders>
            <w:vAlign w:val="center"/>
            <w:hideMark/>
          </w:tcPr>
          <w:p w:rsidR="006D29D4" w:rsidRPr="006D29D4" w:rsidRDefault="006D29D4" w:rsidP="00EC6991">
            <w:pPr>
              <w:bidi w:val="0"/>
              <w:spacing w:after="0" w:line="240" w:lineRule="auto"/>
              <w:ind w:left="-1134" w:right="-1050"/>
            </w:pPr>
          </w:p>
        </w:tc>
        <w:tc>
          <w:tcPr>
            <w:tcW w:w="1496" w:type="dxa"/>
            <w:tcBorders>
              <w:top w:val="single" w:sz="8" w:space="0" w:color="8B6A94"/>
              <w:left w:val="single" w:sz="8" w:space="0" w:color="8B6A94"/>
              <w:bottom w:val="single" w:sz="8" w:space="0" w:color="8B6A94"/>
              <w:right w:val="single" w:sz="8" w:space="0" w:color="8B6A94"/>
            </w:tcBorders>
            <w:shd w:val="clear" w:color="auto" w:fill="EEEBEF"/>
            <w:tcMar>
              <w:top w:w="15" w:type="dxa"/>
              <w:left w:w="108" w:type="dxa"/>
              <w:bottom w:w="0" w:type="dxa"/>
              <w:right w:w="108" w:type="dxa"/>
            </w:tcMar>
            <w:vAlign w:val="center"/>
            <w:hideMark/>
          </w:tcPr>
          <w:p w:rsidR="006D29D4" w:rsidRPr="006D29D4" w:rsidRDefault="006D29D4" w:rsidP="00EC6991">
            <w:pPr>
              <w:spacing w:after="0" w:line="240" w:lineRule="auto"/>
              <w:ind w:left="-1134" w:right="-1050"/>
              <w:jc w:val="center"/>
            </w:pPr>
            <w:r w:rsidRPr="006D29D4">
              <w:t xml:space="preserve">11 </w:t>
            </w:r>
          </w:p>
        </w:tc>
        <w:tc>
          <w:tcPr>
            <w:tcW w:w="1278" w:type="dxa"/>
            <w:tcBorders>
              <w:top w:val="single" w:sz="8" w:space="0" w:color="8B6A94"/>
              <w:left w:val="single" w:sz="8" w:space="0" w:color="8B6A94"/>
              <w:bottom w:val="single" w:sz="8" w:space="0" w:color="8B6A94"/>
              <w:right w:val="single" w:sz="8" w:space="0" w:color="8B6A94"/>
            </w:tcBorders>
            <w:shd w:val="clear" w:color="auto" w:fill="EEEBEF"/>
            <w:tcMar>
              <w:top w:w="15" w:type="dxa"/>
              <w:left w:w="108" w:type="dxa"/>
              <w:bottom w:w="0" w:type="dxa"/>
              <w:right w:w="108" w:type="dxa"/>
            </w:tcMar>
            <w:vAlign w:val="center"/>
            <w:hideMark/>
          </w:tcPr>
          <w:p w:rsidR="006D29D4" w:rsidRPr="006D29D4" w:rsidRDefault="006D29D4" w:rsidP="00EC6991">
            <w:pPr>
              <w:spacing w:after="0" w:line="240" w:lineRule="auto"/>
              <w:ind w:left="-1134" w:right="-1050"/>
              <w:jc w:val="center"/>
            </w:pPr>
            <w:r w:rsidRPr="006D29D4">
              <w:t xml:space="preserve">8 </w:t>
            </w:r>
          </w:p>
        </w:tc>
        <w:tc>
          <w:tcPr>
            <w:tcW w:w="1734" w:type="dxa"/>
            <w:tcBorders>
              <w:top w:val="single" w:sz="8" w:space="0" w:color="8B6A94"/>
              <w:left w:val="single" w:sz="8" w:space="0" w:color="8B6A94"/>
              <w:bottom w:val="single" w:sz="8" w:space="0" w:color="8B6A94"/>
              <w:right w:val="single" w:sz="8" w:space="0" w:color="8B6A94"/>
            </w:tcBorders>
            <w:shd w:val="clear" w:color="auto" w:fill="EEEBEF"/>
            <w:tcMar>
              <w:top w:w="15" w:type="dxa"/>
              <w:left w:w="108" w:type="dxa"/>
              <w:bottom w:w="0" w:type="dxa"/>
              <w:right w:w="108" w:type="dxa"/>
            </w:tcMar>
            <w:vAlign w:val="center"/>
            <w:hideMark/>
          </w:tcPr>
          <w:p w:rsidR="006D29D4" w:rsidRPr="006D29D4" w:rsidRDefault="006D29D4" w:rsidP="00EC6991">
            <w:pPr>
              <w:spacing w:after="0" w:line="240" w:lineRule="auto"/>
              <w:ind w:left="-1134" w:right="-1050"/>
              <w:jc w:val="center"/>
            </w:pPr>
            <w:r w:rsidRPr="006D29D4">
              <w:t xml:space="preserve">2 </w:t>
            </w:r>
          </w:p>
        </w:tc>
        <w:tc>
          <w:tcPr>
            <w:tcW w:w="1578" w:type="dxa"/>
            <w:tcBorders>
              <w:top w:val="single" w:sz="8" w:space="0" w:color="8B6A94"/>
              <w:left w:val="single" w:sz="8" w:space="0" w:color="8B6A94"/>
              <w:bottom w:val="single" w:sz="8" w:space="0" w:color="8B6A94"/>
              <w:right w:val="single" w:sz="8" w:space="0" w:color="8B6A94"/>
            </w:tcBorders>
            <w:shd w:val="clear" w:color="auto" w:fill="EEEBEF"/>
            <w:tcMar>
              <w:top w:w="72" w:type="dxa"/>
              <w:left w:w="144" w:type="dxa"/>
              <w:bottom w:w="72" w:type="dxa"/>
              <w:right w:w="144" w:type="dxa"/>
            </w:tcMar>
            <w:hideMark/>
          </w:tcPr>
          <w:p w:rsidR="006D29D4" w:rsidRPr="006D29D4" w:rsidRDefault="006D29D4" w:rsidP="00EC6991">
            <w:pPr>
              <w:spacing w:after="0" w:line="240" w:lineRule="auto"/>
              <w:ind w:left="-1134" w:right="-1050"/>
              <w:jc w:val="center"/>
            </w:pPr>
            <w:r w:rsidRPr="006D29D4">
              <w:t>Selective</w:t>
            </w:r>
            <w:r w:rsidRPr="006D29D4">
              <w:rPr>
                <w:rtl/>
              </w:rPr>
              <w:t xml:space="preserve"> </w:t>
            </w:r>
          </w:p>
        </w:tc>
        <w:tc>
          <w:tcPr>
            <w:tcW w:w="0" w:type="auto"/>
            <w:vMerge/>
            <w:tcBorders>
              <w:top w:val="single" w:sz="8" w:space="0" w:color="8B6A94"/>
              <w:left w:val="single" w:sz="8" w:space="0" w:color="8B6A94"/>
              <w:bottom w:val="single" w:sz="8" w:space="0" w:color="8B6A94"/>
              <w:right w:val="single" w:sz="8" w:space="0" w:color="8B6A94"/>
            </w:tcBorders>
            <w:vAlign w:val="center"/>
            <w:hideMark/>
          </w:tcPr>
          <w:p w:rsidR="006D29D4" w:rsidRPr="006D29D4" w:rsidRDefault="006D29D4" w:rsidP="00EC6991">
            <w:pPr>
              <w:bidi w:val="0"/>
              <w:spacing w:after="0" w:line="240" w:lineRule="auto"/>
              <w:ind w:left="-1134" w:right="-1050"/>
            </w:pPr>
          </w:p>
        </w:tc>
      </w:tr>
    </w:tbl>
    <w:p w:rsidR="006D29D4" w:rsidRPr="001B6596" w:rsidRDefault="00632BA7" w:rsidP="00EC6991">
      <w:pPr>
        <w:ind w:left="-1134" w:right="-1050"/>
        <w:jc w:val="right"/>
        <w:rPr>
          <w:b/>
          <w:bCs/>
        </w:rPr>
      </w:pPr>
      <w:r w:rsidRPr="001B6596">
        <w:rPr>
          <w:b/>
          <w:bCs/>
        </w:rPr>
        <w:t>Table (1): Significant difference was detected between groups as regard tumor criteria and TACE procedure</w:t>
      </w:r>
    </w:p>
    <w:p w:rsidR="00B55D30" w:rsidRDefault="00B55D30" w:rsidP="00EC6991">
      <w:pPr>
        <w:ind w:left="-1134" w:right="-1050"/>
        <w:jc w:val="right"/>
        <w:rPr>
          <w:rFonts w:hint="cs"/>
          <w:rtl/>
        </w:rPr>
      </w:pPr>
      <w:r>
        <w:t xml:space="preserve">  </w:t>
      </w:r>
    </w:p>
    <w:p w:rsidR="00B55D30" w:rsidRPr="001B6596" w:rsidRDefault="00B55D30" w:rsidP="00EC6991">
      <w:pPr>
        <w:ind w:left="-1134" w:right="-1050"/>
        <w:jc w:val="right"/>
        <w:rPr>
          <w:rFonts w:hint="cs"/>
          <w:b/>
          <w:bCs/>
          <w:rtl/>
        </w:rPr>
      </w:pPr>
      <w:r w:rsidRPr="001B6596">
        <w:rPr>
          <w:b/>
          <w:bCs/>
          <w:rtl/>
        </w:rPr>
        <w:lastRenderedPageBreak/>
        <w:drawing>
          <wp:inline distT="0" distB="0" distL="0" distR="0">
            <wp:extent cx="5274310" cy="2572447"/>
            <wp:effectExtent l="19050" t="0" r="2159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B55D30" w:rsidRPr="001B6596" w:rsidRDefault="00632BA7" w:rsidP="00EC6991">
      <w:pPr>
        <w:ind w:left="-1134" w:right="-1050"/>
        <w:jc w:val="right"/>
        <w:rPr>
          <w:rFonts w:hint="cs"/>
          <w:b/>
          <w:bCs/>
          <w:rtl/>
        </w:rPr>
      </w:pPr>
      <w:r w:rsidRPr="001B6596">
        <w:rPr>
          <w:b/>
          <w:bCs/>
        </w:rPr>
        <w:t>Figure (2): Decompensation after TACE</w:t>
      </w:r>
    </w:p>
    <w:p w:rsidR="00632BA7" w:rsidRPr="001B6596" w:rsidRDefault="00632BA7" w:rsidP="00EC6991">
      <w:pPr>
        <w:ind w:left="-1134" w:right="-1050"/>
        <w:jc w:val="right"/>
        <w:rPr>
          <w:rFonts w:hint="cs"/>
          <w:b/>
          <w:bCs/>
          <w:rtl/>
        </w:rPr>
      </w:pPr>
    </w:p>
    <w:tbl>
      <w:tblPr>
        <w:bidiVisual/>
        <w:tblW w:w="9548" w:type="dxa"/>
        <w:tblCellMar>
          <w:left w:w="0" w:type="dxa"/>
          <w:right w:w="0" w:type="dxa"/>
        </w:tblCellMar>
        <w:tblLook w:val="04A0"/>
      </w:tblPr>
      <w:tblGrid>
        <w:gridCol w:w="2000"/>
        <w:gridCol w:w="2180"/>
        <w:gridCol w:w="5368"/>
      </w:tblGrid>
      <w:tr w:rsidR="00B55D30" w:rsidRPr="00B55D30" w:rsidTr="001B6596">
        <w:trPr>
          <w:trHeight w:val="1032"/>
        </w:trPr>
        <w:tc>
          <w:tcPr>
            <w:tcW w:w="2000" w:type="dxa"/>
            <w:tcBorders>
              <w:top w:val="single" w:sz="8" w:space="0" w:color="8B6A94"/>
              <w:left w:val="single" w:sz="8" w:space="0" w:color="8B6A94"/>
              <w:bottom w:val="single" w:sz="8" w:space="0" w:color="8B6A94"/>
              <w:right w:val="single" w:sz="8" w:space="0" w:color="8B6A94"/>
            </w:tcBorders>
            <w:shd w:val="clear" w:color="auto" w:fill="EEEBEF"/>
            <w:tcMar>
              <w:top w:w="15" w:type="dxa"/>
              <w:left w:w="108" w:type="dxa"/>
              <w:bottom w:w="0" w:type="dxa"/>
              <w:right w:w="108" w:type="dxa"/>
            </w:tcMar>
            <w:vAlign w:val="center"/>
            <w:hideMark/>
          </w:tcPr>
          <w:p w:rsidR="00B55D30" w:rsidRPr="00B55D30" w:rsidRDefault="00B55D30" w:rsidP="00EC6991">
            <w:pPr>
              <w:bidi w:val="0"/>
              <w:spacing w:after="0" w:line="300" w:lineRule="auto"/>
              <w:ind w:left="-1134" w:right="-1050"/>
              <w:jc w:val="center"/>
            </w:pPr>
            <w:r w:rsidRPr="00B55D30">
              <w:t xml:space="preserve">P- value </w:t>
            </w:r>
          </w:p>
        </w:tc>
        <w:tc>
          <w:tcPr>
            <w:tcW w:w="2180" w:type="dxa"/>
            <w:tcBorders>
              <w:top w:val="single" w:sz="8" w:space="0" w:color="8B6A94"/>
              <w:left w:val="single" w:sz="8" w:space="0" w:color="8B6A94"/>
              <w:bottom w:val="single" w:sz="8" w:space="0" w:color="8B6A94"/>
              <w:right w:val="single" w:sz="8" w:space="0" w:color="8B6A94"/>
            </w:tcBorders>
            <w:shd w:val="clear" w:color="auto" w:fill="EEEBEF"/>
            <w:tcMar>
              <w:top w:w="15" w:type="dxa"/>
              <w:left w:w="108" w:type="dxa"/>
              <w:bottom w:w="0" w:type="dxa"/>
              <w:right w:w="108" w:type="dxa"/>
            </w:tcMar>
            <w:vAlign w:val="center"/>
            <w:hideMark/>
          </w:tcPr>
          <w:p w:rsidR="00B55D30" w:rsidRPr="00B55D30" w:rsidRDefault="00B55D30" w:rsidP="00EC6991">
            <w:pPr>
              <w:bidi w:val="0"/>
              <w:spacing w:after="0" w:line="300" w:lineRule="auto"/>
              <w:ind w:left="-1134" w:right="-1050"/>
              <w:jc w:val="center"/>
            </w:pPr>
            <w:r w:rsidRPr="00B55D30">
              <w:t xml:space="preserve">  </w:t>
            </w:r>
            <w:r w:rsidR="001B6596">
              <w:t>Odds ratio</w:t>
            </w:r>
          </w:p>
        </w:tc>
        <w:tc>
          <w:tcPr>
            <w:tcW w:w="5368" w:type="dxa"/>
            <w:tcBorders>
              <w:top w:val="single" w:sz="8" w:space="0" w:color="8B6A94"/>
              <w:left w:val="single" w:sz="8" w:space="0" w:color="8B6A94"/>
              <w:bottom w:val="single" w:sz="8" w:space="0" w:color="8B6A94"/>
              <w:right w:val="single" w:sz="8" w:space="0" w:color="8B6A94"/>
            </w:tcBorders>
            <w:shd w:val="clear" w:color="auto" w:fill="EEEBEF"/>
            <w:tcMar>
              <w:top w:w="15" w:type="dxa"/>
              <w:left w:w="108" w:type="dxa"/>
              <w:bottom w:w="0" w:type="dxa"/>
              <w:right w:w="108" w:type="dxa"/>
            </w:tcMar>
            <w:hideMark/>
          </w:tcPr>
          <w:p w:rsidR="001B6596" w:rsidRDefault="001B6596" w:rsidP="00EC6991">
            <w:pPr>
              <w:bidi w:val="0"/>
              <w:spacing w:after="0" w:line="480" w:lineRule="auto"/>
              <w:ind w:left="-1134" w:right="-1050"/>
              <w:jc w:val="right"/>
            </w:pPr>
          </w:p>
          <w:p w:rsidR="00B55D30" w:rsidRPr="00B55D30" w:rsidRDefault="00B55D30" w:rsidP="00EC6991">
            <w:pPr>
              <w:bidi w:val="0"/>
              <w:spacing w:after="0" w:line="480" w:lineRule="auto"/>
              <w:ind w:left="-1134" w:right="-1050"/>
              <w:jc w:val="center"/>
            </w:pPr>
            <w:r w:rsidRPr="00B55D30">
              <w:t xml:space="preserve">Risk factors  </w:t>
            </w:r>
            <w:r w:rsidR="00632BA7" w:rsidRPr="001B6596">
              <w:t>of</w:t>
            </w:r>
            <w:r w:rsidRPr="00B55D30">
              <w:t xml:space="preserve"> decompensation</w:t>
            </w:r>
          </w:p>
        </w:tc>
      </w:tr>
      <w:tr w:rsidR="00B55D30" w:rsidRPr="00B55D30" w:rsidTr="001B6596">
        <w:trPr>
          <w:trHeight w:val="880"/>
        </w:trPr>
        <w:tc>
          <w:tcPr>
            <w:tcW w:w="2000" w:type="dxa"/>
            <w:tcBorders>
              <w:top w:val="single" w:sz="8" w:space="0" w:color="8B6A94"/>
              <w:left w:val="single" w:sz="8" w:space="0" w:color="8B6A94"/>
              <w:bottom w:val="single" w:sz="8" w:space="0" w:color="8B6A94"/>
              <w:right w:val="single" w:sz="8" w:space="0" w:color="8B6A94"/>
            </w:tcBorders>
            <w:shd w:val="clear" w:color="auto" w:fill="DAD4DC"/>
            <w:tcMar>
              <w:top w:w="15" w:type="dxa"/>
              <w:left w:w="108" w:type="dxa"/>
              <w:bottom w:w="0" w:type="dxa"/>
              <w:right w:w="108" w:type="dxa"/>
            </w:tcMar>
            <w:hideMark/>
          </w:tcPr>
          <w:p w:rsidR="00B55D30" w:rsidRPr="00B55D30" w:rsidRDefault="00B55D30" w:rsidP="00EC6991">
            <w:pPr>
              <w:bidi w:val="0"/>
              <w:spacing w:after="0" w:line="300" w:lineRule="auto"/>
              <w:ind w:left="-1134" w:right="-1050"/>
              <w:jc w:val="center"/>
            </w:pPr>
            <w:r w:rsidRPr="00B55D30">
              <w:t xml:space="preserve">0.03* </w:t>
            </w:r>
          </w:p>
        </w:tc>
        <w:tc>
          <w:tcPr>
            <w:tcW w:w="2180" w:type="dxa"/>
            <w:tcBorders>
              <w:top w:val="single" w:sz="8" w:space="0" w:color="8B6A94"/>
              <w:left w:val="single" w:sz="8" w:space="0" w:color="8B6A94"/>
              <w:bottom w:val="single" w:sz="8" w:space="0" w:color="8B6A94"/>
              <w:right w:val="single" w:sz="8" w:space="0" w:color="8B6A94"/>
            </w:tcBorders>
            <w:shd w:val="clear" w:color="auto" w:fill="DAD4DC"/>
            <w:tcMar>
              <w:top w:w="15" w:type="dxa"/>
              <w:left w:w="108" w:type="dxa"/>
              <w:bottom w:w="0" w:type="dxa"/>
              <w:right w:w="108" w:type="dxa"/>
            </w:tcMar>
            <w:hideMark/>
          </w:tcPr>
          <w:p w:rsidR="00B55D30" w:rsidRPr="00B55D30" w:rsidRDefault="00B55D30" w:rsidP="00EC6991">
            <w:pPr>
              <w:bidi w:val="0"/>
              <w:spacing w:after="0" w:line="300" w:lineRule="auto"/>
              <w:ind w:left="-1134" w:right="-1050"/>
              <w:jc w:val="center"/>
            </w:pPr>
            <w:r w:rsidRPr="00B55D30">
              <w:t xml:space="preserve">4.463 </w:t>
            </w:r>
          </w:p>
        </w:tc>
        <w:tc>
          <w:tcPr>
            <w:tcW w:w="5368" w:type="dxa"/>
            <w:tcBorders>
              <w:top w:val="single" w:sz="8" w:space="0" w:color="8B6A94"/>
              <w:left w:val="single" w:sz="8" w:space="0" w:color="8B6A94"/>
              <w:bottom w:val="single" w:sz="8" w:space="0" w:color="8B6A94"/>
              <w:right w:val="single" w:sz="8" w:space="0" w:color="8B6A94"/>
            </w:tcBorders>
            <w:shd w:val="clear" w:color="auto" w:fill="DAD4DC"/>
            <w:tcMar>
              <w:top w:w="15" w:type="dxa"/>
              <w:left w:w="108" w:type="dxa"/>
              <w:bottom w:w="0" w:type="dxa"/>
              <w:right w:w="108" w:type="dxa"/>
            </w:tcMar>
            <w:hideMark/>
          </w:tcPr>
          <w:p w:rsidR="00B55D30" w:rsidRPr="00B55D30" w:rsidRDefault="00B55D30" w:rsidP="00EC6991">
            <w:pPr>
              <w:bidi w:val="0"/>
              <w:spacing w:after="0" w:line="480" w:lineRule="auto"/>
              <w:ind w:left="-1134" w:right="-1050"/>
              <w:jc w:val="center"/>
            </w:pPr>
            <w:r w:rsidRPr="00B55D30">
              <w:t>Bilirubin (mg/dl)</w:t>
            </w:r>
          </w:p>
        </w:tc>
      </w:tr>
      <w:tr w:rsidR="00B55D30" w:rsidRPr="00B55D30" w:rsidTr="001B6596">
        <w:trPr>
          <w:trHeight w:val="880"/>
        </w:trPr>
        <w:tc>
          <w:tcPr>
            <w:tcW w:w="2000" w:type="dxa"/>
            <w:tcBorders>
              <w:top w:val="single" w:sz="8" w:space="0" w:color="8B6A94"/>
              <w:left w:val="single" w:sz="8" w:space="0" w:color="8B6A94"/>
              <w:bottom w:val="single" w:sz="8" w:space="0" w:color="8B6A94"/>
              <w:right w:val="single" w:sz="8" w:space="0" w:color="8B6A94"/>
            </w:tcBorders>
            <w:shd w:val="clear" w:color="auto" w:fill="EEEBEF"/>
            <w:tcMar>
              <w:top w:w="15" w:type="dxa"/>
              <w:left w:w="108" w:type="dxa"/>
              <w:bottom w:w="0" w:type="dxa"/>
              <w:right w:w="108" w:type="dxa"/>
            </w:tcMar>
            <w:hideMark/>
          </w:tcPr>
          <w:p w:rsidR="00B55D30" w:rsidRPr="00B55D30" w:rsidRDefault="00B55D30" w:rsidP="00EC6991">
            <w:pPr>
              <w:bidi w:val="0"/>
              <w:spacing w:after="0" w:line="300" w:lineRule="auto"/>
              <w:ind w:left="-1134" w:right="-1050"/>
              <w:jc w:val="center"/>
            </w:pPr>
            <w:r w:rsidRPr="00B55D30">
              <w:t xml:space="preserve">0.009* </w:t>
            </w:r>
          </w:p>
        </w:tc>
        <w:tc>
          <w:tcPr>
            <w:tcW w:w="2180" w:type="dxa"/>
            <w:tcBorders>
              <w:top w:val="single" w:sz="8" w:space="0" w:color="8B6A94"/>
              <w:left w:val="single" w:sz="8" w:space="0" w:color="8B6A94"/>
              <w:bottom w:val="single" w:sz="8" w:space="0" w:color="8B6A94"/>
              <w:right w:val="single" w:sz="8" w:space="0" w:color="8B6A94"/>
            </w:tcBorders>
            <w:shd w:val="clear" w:color="auto" w:fill="EEEBEF"/>
            <w:tcMar>
              <w:top w:w="15" w:type="dxa"/>
              <w:left w:w="108" w:type="dxa"/>
              <w:bottom w:w="0" w:type="dxa"/>
              <w:right w:w="108" w:type="dxa"/>
            </w:tcMar>
            <w:hideMark/>
          </w:tcPr>
          <w:p w:rsidR="00B55D30" w:rsidRPr="00B55D30" w:rsidRDefault="00B55D30" w:rsidP="00EC6991">
            <w:pPr>
              <w:bidi w:val="0"/>
              <w:spacing w:after="0" w:line="300" w:lineRule="auto"/>
              <w:ind w:left="-1134" w:right="-1050"/>
              <w:jc w:val="center"/>
            </w:pPr>
            <w:r w:rsidRPr="00B55D30">
              <w:t xml:space="preserve">1.031 </w:t>
            </w:r>
          </w:p>
        </w:tc>
        <w:tc>
          <w:tcPr>
            <w:tcW w:w="5368" w:type="dxa"/>
            <w:tcBorders>
              <w:top w:val="single" w:sz="8" w:space="0" w:color="8B6A94"/>
              <w:left w:val="single" w:sz="8" w:space="0" w:color="8B6A94"/>
              <w:bottom w:val="single" w:sz="8" w:space="0" w:color="8B6A94"/>
              <w:right w:val="single" w:sz="8" w:space="0" w:color="8B6A94"/>
            </w:tcBorders>
            <w:shd w:val="clear" w:color="auto" w:fill="EEEBEF"/>
            <w:tcMar>
              <w:top w:w="15" w:type="dxa"/>
              <w:left w:w="108" w:type="dxa"/>
              <w:bottom w:w="0" w:type="dxa"/>
              <w:right w:w="108" w:type="dxa"/>
            </w:tcMar>
            <w:hideMark/>
          </w:tcPr>
          <w:p w:rsidR="00B55D30" w:rsidRPr="00B55D30" w:rsidRDefault="00B55D30" w:rsidP="00EC6991">
            <w:pPr>
              <w:bidi w:val="0"/>
              <w:spacing w:after="0" w:line="480" w:lineRule="auto"/>
              <w:ind w:left="-1134" w:right="-1050"/>
              <w:jc w:val="center"/>
            </w:pPr>
            <w:r w:rsidRPr="00B55D30">
              <w:t>AST(IU/L)</w:t>
            </w:r>
          </w:p>
        </w:tc>
      </w:tr>
      <w:tr w:rsidR="00B55D30" w:rsidRPr="00B55D30" w:rsidTr="001B6596">
        <w:trPr>
          <w:trHeight w:val="660"/>
        </w:trPr>
        <w:tc>
          <w:tcPr>
            <w:tcW w:w="2000" w:type="dxa"/>
            <w:tcBorders>
              <w:top w:val="single" w:sz="8" w:space="0" w:color="8B6A94"/>
              <w:left w:val="single" w:sz="8" w:space="0" w:color="8B6A94"/>
              <w:bottom w:val="single" w:sz="8" w:space="0" w:color="8B6A94"/>
              <w:right w:val="single" w:sz="8" w:space="0" w:color="8B6A94"/>
            </w:tcBorders>
            <w:shd w:val="clear" w:color="auto" w:fill="DAD4DC"/>
            <w:tcMar>
              <w:top w:w="15" w:type="dxa"/>
              <w:left w:w="108" w:type="dxa"/>
              <w:bottom w:w="0" w:type="dxa"/>
              <w:right w:w="108" w:type="dxa"/>
            </w:tcMar>
            <w:hideMark/>
          </w:tcPr>
          <w:p w:rsidR="00B55D30" w:rsidRPr="00B55D30" w:rsidRDefault="00B55D30" w:rsidP="00EC6991">
            <w:pPr>
              <w:bidi w:val="0"/>
              <w:spacing w:after="0" w:line="300" w:lineRule="auto"/>
              <w:ind w:left="-1134" w:right="-1050"/>
              <w:jc w:val="center"/>
            </w:pPr>
            <w:r w:rsidRPr="00B55D30">
              <w:t xml:space="preserve">0.003* </w:t>
            </w:r>
          </w:p>
        </w:tc>
        <w:tc>
          <w:tcPr>
            <w:tcW w:w="2180" w:type="dxa"/>
            <w:tcBorders>
              <w:top w:val="single" w:sz="8" w:space="0" w:color="8B6A94"/>
              <w:left w:val="single" w:sz="8" w:space="0" w:color="8B6A94"/>
              <w:bottom w:val="single" w:sz="8" w:space="0" w:color="8B6A94"/>
              <w:right w:val="single" w:sz="8" w:space="0" w:color="8B6A94"/>
            </w:tcBorders>
            <w:shd w:val="clear" w:color="auto" w:fill="DAD4DC"/>
            <w:tcMar>
              <w:top w:w="15" w:type="dxa"/>
              <w:left w:w="108" w:type="dxa"/>
              <w:bottom w:w="0" w:type="dxa"/>
              <w:right w:w="108" w:type="dxa"/>
            </w:tcMar>
            <w:hideMark/>
          </w:tcPr>
          <w:p w:rsidR="00B55D30" w:rsidRPr="00B55D30" w:rsidRDefault="00B55D30" w:rsidP="00EC6991">
            <w:pPr>
              <w:bidi w:val="0"/>
              <w:spacing w:after="0" w:line="360" w:lineRule="auto"/>
              <w:ind w:left="-1134" w:right="-1050"/>
              <w:jc w:val="center"/>
            </w:pPr>
            <w:r w:rsidRPr="00B55D30">
              <w:t xml:space="preserve">935.66 </w:t>
            </w:r>
          </w:p>
        </w:tc>
        <w:tc>
          <w:tcPr>
            <w:tcW w:w="5368" w:type="dxa"/>
            <w:tcBorders>
              <w:top w:val="single" w:sz="8" w:space="0" w:color="8B6A94"/>
              <w:left w:val="single" w:sz="8" w:space="0" w:color="8B6A94"/>
              <w:bottom w:val="single" w:sz="8" w:space="0" w:color="8B6A94"/>
              <w:right w:val="single" w:sz="8" w:space="0" w:color="8B6A94"/>
            </w:tcBorders>
            <w:shd w:val="clear" w:color="auto" w:fill="DAD4DC"/>
            <w:tcMar>
              <w:top w:w="15" w:type="dxa"/>
              <w:left w:w="108" w:type="dxa"/>
              <w:bottom w:w="0" w:type="dxa"/>
              <w:right w:w="108" w:type="dxa"/>
            </w:tcMar>
            <w:hideMark/>
          </w:tcPr>
          <w:p w:rsidR="00B55D30" w:rsidRPr="00B55D30" w:rsidRDefault="00B55D30" w:rsidP="00EC6991">
            <w:pPr>
              <w:bidi w:val="0"/>
              <w:spacing w:after="0" w:line="300" w:lineRule="auto"/>
              <w:ind w:left="-1134" w:right="-1050"/>
              <w:jc w:val="center"/>
            </w:pPr>
            <w:r w:rsidRPr="00B55D30">
              <w:t>INR</w:t>
            </w:r>
          </w:p>
        </w:tc>
      </w:tr>
      <w:tr w:rsidR="00B55D30" w:rsidRPr="00B55D30" w:rsidTr="001B6596">
        <w:trPr>
          <w:trHeight w:val="880"/>
        </w:trPr>
        <w:tc>
          <w:tcPr>
            <w:tcW w:w="2000" w:type="dxa"/>
            <w:tcBorders>
              <w:top w:val="single" w:sz="8" w:space="0" w:color="8B6A94"/>
              <w:left w:val="single" w:sz="8" w:space="0" w:color="8B6A94"/>
              <w:bottom w:val="single" w:sz="8" w:space="0" w:color="8B6A94"/>
              <w:right w:val="single" w:sz="8" w:space="0" w:color="8B6A94"/>
            </w:tcBorders>
            <w:shd w:val="clear" w:color="auto" w:fill="EEEBEF"/>
            <w:tcMar>
              <w:top w:w="15" w:type="dxa"/>
              <w:left w:w="108" w:type="dxa"/>
              <w:bottom w:w="0" w:type="dxa"/>
              <w:right w:w="108" w:type="dxa"/>
            </w:tcMar>
            <w:hideMark/>
          </w:tcPr>
          <w:p w:rsidR="00B55D30" w:rsidRPr="00B55D30" w:rsidRDefault="00B55D30" w:rsidP="00EC6991">
            <w:pPr>
              <w:bidi w:val="0"/>
              <w:spacing w:after="0" w:line="300" w:lineRule="auto"/>
              <w:ind w:left="-1134" w:right="-1050"/>
              <w:jc w:val="center"/>
            </w:pPr>
            <w:r w:rsidRPr="00B55D30">
              <w:t xml:space="preserve">0.002* </w:t>
            </w:r>
          </w:p>
        </w:tc>
        <w:tc>
          <w:tcPr>
            <w:tcW w:w="2180" w:type="dxa"/>
            <w:tcBorders>
              <w:top w:val="single" w:sz="8" w:space="0" w:color="8B6A94"/>
              <w:left w:val="single" w:sz="8" w:space="0" w:color="8B6A94"/>
              <w:bottom w:val="single" w:sz="8" w:space="0" w:color="8B6A94"/>
              <w:right w:val="single" w:sz="8" w:space="0" w:color="8B6A94"/>
            </w:tcBorders>
            <w:shd w:val="clear" w:color="auto" w:fill="EEEBEF"/>
            <w:tcMar>
              <w:top w:w="15" w:type="dxa"/>
              <w:left w:w="108" w:type="dxa"/>
              <w:bottom w:w="0" w:type="dxa"/>
              <w:right w:w="108" w:type="dxa"/>
            </w:tcMar>
            <w:hideMark/>
          </w:tcPr>
          <w:p w:rsidR="00B55D30" w:rsidRPr="00B55D30" w:rsidRDefault="00B55D30" w:rsidP="00EC6991">
            <w:pPr>
              <w:bidi w:val="0"/>
              <w:spacing w:after="0" w:line="300" w:lineRule="auto"/>
              <w:ind w:left="-1134" w:right="-1050"/>
              <w:jc w:val="center"/>
            </w:pPr>
            <w:r w:rsidRPr="00B55D30">
              <w:t xml:space="preserve">1.589 </w:t>
            </w:r>
          </w:p>
        </w:tc>
        <w:tc>
          <w:tcPr>
            <w:tcW w:w="5368" w:type="dxa"/>
            <w:tcBorders>
              <w:top w:val="single" w:sz="8" w:space="0" w:color="8B6A94"/>
              <w:left w:val="single" w:sz="8" w:space="0" w:color="8B6A94"/>
              <w:bottom w:val="single" w:sz="8" w:space="0" w:color="8B6A94"/>
              <w:right w:val="single" w:sz="8" w:space="0" w:color="8B6A94"/>
            </w:tcBorders>
            <w:shd w:val="clear" w:color="auto" w:fill="EEEBEF"/>
            <w:tcMar>
              <w:top w:w="15" w:type="dxa"/>
              <w:left w:w="108" w:type="dxa"/>
              <w:bottom w:w="0" w:type="dxa"/>
              <w:right w:w="108" w:type="dxa"/>
            </w:tcMar>
            <w:hideMark/>
          </w:tcPr>
          <w:p w:rsidR="00B55D30" w:rsidRPr="00B55D30" w:rsidRDefault="00B55D30" w:rsidP="00EC6991">
            <w:pPr>
              <w:bidi w:val="0"/>
              <w:spacing w:after="0" w:line="480" w:lineRule="auto"/>
              <w:ind w:left="-1134" w:right="-1050"/>
              <w:jc w:val="center"/>
            </w:pPr>
            <w:r w:rsidRPr="00B55D30">
              <w:t>MELD score</w:t>
            </w:r>
          </w:p>
        </w:tc>
      </w:tr>
      <w:tr w:rsidR="00B55D30" w:rsidRPr="00B55D30" w:rsidTr="001B6596">
        <w:trPr>
          <w:trHeight w:val="880"/>
        </w:trPr>
        <w:tc>
          <w:tcPr>
            <w:tcW w:w="2000" w:type="dxa"/>
            <w:tcBorders>
              <w:top w:val="single" w:sz="8" w:space="0" w:color="8B6A94"/>
              <w:left w:val="single" w:sz="8" w:space="0" w:color="8B6A94"/>
              <w:bottom w:val="single" w:sz="8" w:space="0" w:color="8B6A94"/>
              <w:right w:val="single" w:sz="8" w:space="0" w:color="8B6A94"/>
            </w:tcBorders>
            <w:shd w:val="clear" w:color="auto" w:fill="DAD4DC"/>
            <w:tcMar>
              <w:top w:w="15" w:type="dxa"/>
              <w:left w:w="108" w:type="dxa"/>
              <w:bottom w:w="0" w:type="dxa"/>
              <w:right w:w="108" w:type="dxa"/>
            </w:tcMar>
            <w:hideMark/>
          </w:tcPr>
          <w:p w:rsidR="00B55D30" w:rsidRPr="00B55D30" w:rsidRDefault="00B55D30" w:rsidP="00EC6991">
            <w:pPr>
              <w:bidi w:val="0"/>
              <w:spacing w:after="0" w:line="300" w:lineRule="auto"/>
              <w:ind w:left="-1134" w:right="-1050"/>
              <w:jc w:val="center"/>
            </w:pPr>
            <w:r w:rsidRPr="00B55D30">
              <w:t xml:space="preserve">0.024* </w:t>
            </w:r>
          </w:p>
        </w:tc>
        <w:tc>
          <w:tcPr>
            <w:tcW w:w="2180" w:type="dxa"/>
            <w:tcBorders>
              <w:top w:val="single" w:sz="8" w:space="0" w:color="8B6A94"/>
              <w:left w:val="single" w:sz="8" w:space="0" w:color="8B6A94"/>
              <w:bottom w:val="single" w:sz="8" w:space="0" w:color="8B6A94"/>
              <w:right w:val="single" w:sz="8" w:space="0" w:color="8B6A94"/>
            </w:tcBorders>
            <w:shd w:val="clear" w:color="auto" w:fill="DAD4DC"/>
            <w:tcMar>
              <w:top w:w="15" w:type="dxa"/>
              <w:left w:w="108" w:type="dxa"/>
              <w:bottom w:w="0" w:type="dxa"/>
              <w:right w:w="108" w:type="dxa"/>
            </w:tcMar>
            <w:hideMark/>
          </w:tcPr>
          <w:p w:rsidR="00B55D30" w:rsidRPr="00B55D30" w:rsidRDefault="00B55D30" w:rsidP="00EC6991">
            <w:pPr>
              <w:bidi w:val="0"/>
              <w:spacing w:after="0" w:line="300" w:lineRule="auto"/>
              <w:ind w:left="-1134" w:right="-1050"/>
              <w:jc w:val="center"/>
            </w:pPr>
            <w:r w:rsidRPr="00B55D30">
              <w:t xml:space="preserve">1.008 </w:t>
            </w:r>
          </w:p>
        </w:tc>
        <w:tc>
          <w:tcPr>
            <w:tcW w:w="5368" w:type="dxa"/>
            <w:tcBorders>
              <w:top w:val="single" w:sz="8" w:space="0" w:color="8B6A94"/>
              <w:left w:val="single" w:sz="8" w:space="0" w:color="8B6A94"/>
              <w:bottom w:val="single" w:sz="8" w:space="0" w:color="8B6A94"/>
              <w:right w:val="single" w:sz="8" w:space="0" w:color="8B6A94"/>
            </w:tcBorders>
            <w:shd w:val="clear" w:color="auto" w:fill="DAD4DC"/>
            <w:tcMar>
              <w:top w:w="15" w:type="dxa"/>
              <w:left w:w="108" w:type="dxa"/>
              <w:bottom w:w="0" w:type="dxa"/>
              <w:right w:w="108" w:type="dxa"/>
            </w:tcMar>
            <w:hideMark/>
          </w:tcPr>
          <w:p w:rsidR="00B55D30" w:rsidRPr="00B55D30" w:rsidRDefault="00B55D30" w:rsidP="00EC6991">
            <w:pPr>
              <w:bidi w:val="0"/>
              <w:spacing w:after="0" w:line="480" w:lineRule="auto"/>
              <w:ind w:left="-1134" w:right="-1050"/>
              <w:jc w:val="center"/>
            </w:pPr>
            <w:r w:rsidRPr="00B55D30">
              <w:t>Platelets (decrease)</w:t>
            </w:r>
          </w:p>
        </w:tc>
      </w:tr>
      <w:tr w:rsidR="00B55D30" w:rsidRPr="00B55D30" w:rsidTr="001B6596">
        <w:trPr>
          <w:trHeight w:val="880"/>
        </w:trPr>
        <w:tc>
          <w:tcPr>
            <w:tcW w:w="2000" w:type="dxa"/>
            <w:tcBorders>
              <w:top w:val="single" w:sz="8" w:space="0" w:color="8B6A94"/>
              <w:left w:val="single" w:sz="8" w:space="0" w:color="8B6A94"/>
              <w:bottom w:val="single" w:sz="8" w:space="0" w:color="8B6A94"/>
              <w:right w:val="single" w:sz="8" w:space="0" w:color="8B6A94"/>
            </w:tcBorders>
            <w:shd w:val="clear" w:color="auto" w:fill="EEEBEF"/>
            <w:tcMar>
              <w:top w:w="15" w:type="dxa"/>
              <w:left w:w="108" w:type="dxa"/>
              <w:bottom w:w="0" w:type="dxa"/>
              <w:right w:w="108" w:type="dxa"/>
            </w:tcMar>
            <w:hideMark/>
          </w:tcPr>
          <w:p w:rsidR="00B55D30" w:rsidRPr="00B55D30" w:rsidRDefault="00B55D30" w:rsidP="00EC6991">
            <w:pPr>
              <w:bidi w:val="0"/>
              <w:spacing w:after="0" w:line="300" w:lineRule="auto"/>
              <w:ind w:left="-1134" w:right="-1050"/>
              <w:jc w:val="center"/>
            </w:pPr>
            <w:r w:rsidRPr="00B55D30">
              <w:t xml:space="preserve">0.031* </w:t>
            </w:r>
          </w:p>
        </w:tc>
        <w:tc>
          <w:tcPr>
            <w:tcW w:w="2180" w:type="dxa"/>
            <w:tcBorders>
              <w:top w:val="single" w:sz="8" w:space="0" w:color="8B6A94"/>
              <w:left w:val="single" w:sz="8" w:space="0" w:color="8B6A94"/>
              <w:bottom w:val="single" w:sz="8" w:space="0" w:color="8B6A94"/>
              <w:right w:val="single" w:sz="8" w:space="0" w:color="8B6A94"/>
            </w:tcBorders>
            <w:shd w:val="clear" w:color="auto" w:fill="EEEBEF"/>
            <w:tcMar>
              <w:top w:w="15" w:type="dxa"/>
              <w:left w:w="108" w:type="dxa"/>
              <w:bottom w:w="0" w:type="dxa"/>
              <w:right w:w="108" w:type="dxa"/>
            </w:tcMar>
            <w:hideMark/>
          </w:tcPr>
          <w:p w:rsidR="00B55D30" w:rsidRPr="00B55D30" w:rsidRDefault="00B55D30" w:rsidP="00EC6991">
            <w:pPr>
              <w:bidi w:val="0"/>
              <w:spacing w:after="0" w:line="300" w:lineRule="auto"/>
              <w:ind w:left="-1134" w:right="-1050"/>
              <w:jc w:val="center"/>
            </w:pPr>
            <w:r w:rsidRPr="00B55D30">
              <w:t xml:space="preserve">4.667 </w:t>
            </w:r>
          </w:p>
        </w:tc>
        <w:tc>
          <w:tcPr>
            <w:tcW w:w="5368" w:type="dxa"/>
            <w:tcBorders>
              <w:top w:val="single" w:sz="8" w:space="0" w:color="8B6A94"/>
              <w:left w:val="single" w:sz="8" w:space="0" w:color="8B6A94"/>
              <w:bottom w:val="single" w:sz="8" w:space="0" w:color="8B6A94"/>
              <w:right w:val="single" w:sz="8" w:space="0" w:color="8B6A94"/>
            </w:tcBorders>
            <w:shd w:val="clear" w:color="auto" w:fill="EEEBEF"/>
            <w:tcMar>
              <w:top w:w="15" w:type="dxa"/>
              <w:left w:w="108" w:type="dxa"/>
              <w:bottom w:w="0" w:type="dxa"/>
              <w:right w:w="108" w:type="dxa"/>
            </w:tcMar>
            <w:hideMark/>
          </w:tcPr>
          <w:p w:rsidR="00B55D30" w:rsidRPr="00B55D30" w:rsidRDefault="00B55D30" w:rsidP="00EC6991">
            <w:pPr>
              <w:bidi w:val="0"/>
              <w:spacing w:after="0" w:line="480" w:lineRule="auto"/>
              <w:ind w:left="-1134" w:right="-1050"/>
              <w:jc w:val="center"/>
            </w:pPr>
            <w:r w:rsidRPr="00B55D30">
              <w:t>Site (left lobe)/ right lobe</w:t>
            </w:r>
          </w:p>
        </w:tc>
      </w:tr>
      <w:tr w:rsidR="00B55D30" w:rsidRPr="00B55D30" w:rsidTr="001B6596">
        <w:trPr>
          <w:trHeight w:val="880"/>
        </w:trPr>
        <w:tc>
          <w:tcPr>
            <w:tcW w:w="2000" w:type="dxa"/>
            <w:tcBorders>
              <w:top w:val="single" w:sz="8" w:space="0" w:color="8B6A94"/>
              <w:left w:val="single" w:sz="8" w:space="0" w:color="8B6A94"/>
              <w:bottom w:val="single" w:sz="8" w:space="0" w:color="8B6A94"/>
              <w:right w:val="single" w:sz="8" w:space="0" w:color="8B6A94"/>
            </w:tcBorders>
            <w:shd w:val="clear" w:color="auto" w:fill="DAD4DC"/>
            <w:tcMar>
              <w:top w:w="15" w:type="dxa"/>
              <w:left w:w="108" w:type="dxa"/>
              <w:bottom w:w="0" w:type="dxa"/>
              <w:right w:w="108" w:type="dxa"/>
            </w:tcMar>
            <w:hideMark/>
          </w:tcPr>
          <w:p w:rsidR="00B55D30" w:rsidRPr="00B55D30" w:rsidRDefault="00B55D30" w:rsidP="00EC6991">
            <w:pPr>
              <w:bidi w:val="0"/>
              <w:spacing w:after="0" w:line="300" w:lineRule="auto"/>
              <w:ind w:left="-1134" w:right="-1050"/>
              <w:jc w:val="center"/>
            </w:pPr>
            <w:r w:rsidRPr="00B55D30">
              <w:t xml:space="preserve">0.022* </w:t>
            </w:r>
          </w:p>
        </w:tc>
        <w:tc>
          <w:tcPr>
            <w:tcW w:w="2180" w:type="dxa"/>
            <w:tcBorders>
              <w:top w:val="single" w:sz="8" w:space="0" w:color="8B6A94"/>
              <w:left w:val="single" w:sz="8" w:space="0" w:color="8B6A94"/>
              <w:bottom w:val="single" w:sz="8" w:space="0" w:color="8B6A94"/>
              <w:right w:val="single" w:sz="8" w:space="0" w:color="8B6A94"/>
            </w:tcBorders>
            <w:shd w:val="clear" w:color="auto" w:fill="DAD4DC"/>
            <w:tcMar>
              <w:top w:w="15" w:type="dxa"/>
              <w:left w:w="108" w:type="dxa"/>
              <w:bottom w:w="0" w:type="dxa"/>
              <w:right w:w="108" w:type="dxa"/>
            </w:tcMar>
            <w:hideMark/>
          </w:tcPr>
          <w:p w:rsidR="00B55D30" w:rsidRPr="00B55D30" w:rsidRDefault="00B55D30" w:rsidP="00EC6991">
            <w:pPr>
              <w:bidi w:val="0"/>
              <w:spacing w:after="0" w:line="300" w:lineRule="auto"/>
              <w:ind w:left="-1134" w:right="-1050"/>
              <w:jc w:val="center"/>
            </w:pPr>
            <w:r w:rsidRPr="00B55D30">
              <w:t xml:space="preserve">3.725 </w:t>
            </w:r>
          </w:p>
        </w:tc>
        <w:tc>
          <w:tcPr>
            <w:tcW w:w="5368" w:type="dxa"/>
            <w:tcBorders>
              <w:top w:val="single" w:sz="8" w:space="0" w:color="8B6A94"/>
              <w:left w:val="single" w:sz="8" w:space="0" w:color="8B6A94"/>
              <w:bottom w:val="single" w:sz="8" w:space="0" w:color="8B6A94"/>
              <w:right w:val="single" w:sz="8" w:space="0" w:color="8B6A94"/>
            </w:tcBorders>
            <w:shd w:val="clear" w:color="auto" w:fill="DAD4DC"/>
            <w:tcMar>
              <w:top w:w="15" w:type="dxa"/>
              <w:left w:w="108" w:type="dxa"/>
              <w:bottom w:w="0" w:type="dxa"/>
              <w:right w:w="108" w:type="dxa"/>
            </w:tcMar>
            <w:hideMark/>
          </w:tcPr>
          <w:p w:rsidR="00B55D30" w:rsidRPr="00B55D30" w:rsidRDefault="00B55D30" w:rsidP="00EC6991">
            <w:pPr>
              <w:bidi w:val="0"/>
              <w:spacing w:after="0" w:line="480" w:lineRule="auto"/>
              <w:ind w:left="-1134" w:right="-1050"/>
              <w:jc w:val="both"/>
            </w:pPr>
            <w:r w:rsidRPr="00B55D30">
              <w:t xml:space="preserve">Heterogenous lesions </w:t>
            </w:r>
          </w:p>
        </w:tc>
      </w:tr>
    </w:tbl>
    <w:p w:rsidR="00632BA7" w:rsidRPr="00127984" w:rsidRDefault="00632BA7" w:rsidP="00EC6991">
      <w:pPr>
        <w:spacing w:after="0" w:line="480" w:lineRule="auto"/>
        <w:ind w:left="-1134" w:right="-1050"/>
        <w:jc w:val="right"/>
        <w:rPr>
          <w:b/>
          <w:bCs/>
        </w:rPr>
      </w:pPr>
      <w:r w:rsidRPr="00127984">
        <w:rPr>
          <w:b/>
          <w:bCs/>
        </w:rPr>
        <w:t>Table (2</w:t>
      </w:r>
      <w:r w:rsidR="00C146D4" w:rsidRPr="00127984">
        <w:rPr>
          <w:b/>
          <w:bCs/>
        </w:rPr>
        <w:t>a</w:t>
      </w:r>
      <w:r w:rsidRPr="00127984">
        <w:rPr>
          <w:b/>
          <w:bCs/>
        </w:rPr>
        <w:t xml:space="preserve">): </w:t>
      </w:r>
      <w:r w:rsidRPr="00B55D30">
        <w:rPr>
          <w:b/>
          <w:bCs/>
        </w:rPr>
        <w:t xml:space="preserve">Risk </w:t>
      </w:r>
      <w:r w:rsidR="00127984" w:rsidRPr="00B55D30">
        <w:rPr>
          <w:b/>
          <w:bCs/>
        </w:rPr>
        <w:t>factors of</w:t>
      </w:r>
      <w:r w:rsidRPr="00B55D30">
        <w:rPr>
          <w:b/>
          <w:bCs/>
        </w:rPr>
        <w:t xml:space="preserve"> decompensation</w:t>
      </w:r>
      <w:r w:rsidRPr="00127984">
        <w:rPr>
          <w:b/>
          <w:bCs/>
        </w:rPr>
        <w:t xml:space="preserve"> after TACE</w:t>
      </w:r>
      <w:r w:rsidRPr="00B55D30">
        <w:rPr>
          <w:b/>
          <w:bCs/>
        </w:rPr>
        <w:t xml:space="preserve"> </w:t>
      </w:r>
    </w:p>
    <w:p w:rsidR="001B6596" w:rsidRPr="001B6596" w:rsidRDefault="001B6596" w:rsidP="00EC6991">
      <w:pPr>
        <w:spacing w:after="0" w:line="480" w:lineRule="auto"/>
        <w:ind w:left="-1134" w:right="-1050"/>
        <w:jc w:val="right"/>
      </w:pP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18"/>
        <w:gridCol w:w="1276"/>
        <w:gridCol w:w="1559"/>
        <w:gridCol w:w="1418"/>
        <w:gridCol w:w="1843"/>
        <w:gridCol w:w="2268"/>
      </w:tblGrid>
      <w:tr w:rsidR="00127984" w:rsidRPr="001B6596" w:rsidTr="00127984">
        <w:tc>
          <w:tcPr>
            <w:tcW w:w="1418" w:type="dxa"/>
            <w:tcBorders>
              <w:top w:val="single" w:sz="24" w:space="0" w:color="auto"/>
              <w:left w:val="single" w:sz="24" w:space="0" w:color="auto"/>
              <w:bottom w:val="single" w:sz="24" w:space="0" w:color="auto"/>
              <w:right w:val="single" w:sz="24" w:space="0" w:color="auto"/>
            </w:tcBorders>
          </w:tcPr>
          <w:p w:rsidR="00EC6991" w:rsidRPr="001B6596" w:rsidRDefault="00EC6991" w:rsidP="00EC6991">
            <w:pPr>
              <w:autoSpaceDE w:val="0"/>
              <w:autoSpaceDN w:val="0"/>
              <w:bidi w:val="0"/>
              <w:adjustRightInd w:val="0"/>
              <w:spacing w:line="360" w:lineRule="auto"/>
              <w:ind w:left="-1134" w:right="-1050"/>
              <w:jc w:val="center"/>
            </w:pPr>
          </w:p>
        </w:tc>
        <w:tc>
          <w:tcPr>
            <w:tcW w:w="1276" w:type="dxa"/>
            <w:tcBorders>
              <w:top w:val="single" w:sz="24" w:space="0" w:color="auto"/>
              <w:left w:val="single" w:sz="24" w:space="0" w:color="auto"/>
              <w:bottom w:val="single" w:sz="24" w:space="0" w:color="auto"/>
              <w:right w:val="single" w:sz="24" w:space="0" w:color="auto"/>
            </w:tcBorders>
            <w:hideMark/>
          </w:tcPr>
          <w:p w:rsidR="00EC6991" w:rsidRPr="001B6596" w:rsidRDefault="008E609F" w:rsidP="00EC6991">
            <w:pPr>
              <w:autoSpaceDE w:val="0"/>
              <w:autoSpaceDN w:val="0"/>
              <w:bidi w:val="0"/>
              <w:adjustRightInd w:val="0"/>
              <w:spacing w:line="360" w:lineRule="auto"/>
              <w:ind w:left="-1134" w:right="-1050"/>
              <w:jc w:val="center"/>
            </w:pPr>
            <w:r>
              <w:t xml:space="preserve"> </w:t>
            </w:r>
            <w:r w:rsidR="00EC6991" w:rsidRPr="001B6596">
              <w:t>Cut off value</w:t>
            </w:r>
          </w:p>
        </w:tc>
        <w:tc>
          <w:tcPr>
            <w:tcW w:w="1559" w:type="dxa"/>
            <w:tcBorders>
              <w:top w:val="single" w:sz="24" w:space="0" w:color="auto"/>
              <w:left w:val="single" w:sz="24" w:space="0" w:color="auto"/>
              <w:bottom w:val="single" w:sz="24" w:space="0" w:color="auto"/>
              <w:right w:val="single" w:sz="4" w:space="0" w:color="auto"/>
            </w:tcBorders>
            <w:hideMark/>
          </w:tcPr>
          <w:p w:rsidR="00EC6991" w:rsidRPr="001B6596" w:rsidRDefault="00EC6991" w:rsidP="00EC6991">
            <w:pPr>
              <w:autoSpaceDE w:val="0"/>
              <w:autoSpaceDN w:val="0"/>
              <w:bidi w:val="0"/>
              <w:adjustRightInd w:val="0"/>
              <w:spacing w:line="360" w:lineRule="auto"/>
              <w:ind w:left="-1134" w:right="-1050"/>
              <w:jc w:val="center"/>
            </w:pPr>
            <w:r w:rsidRPr="001B6596">
              <w:t>Sensitivity (%)</w:t>
            </w:r>
          </w:p>
        </w:tc>
        <w:tc>
          <w:tcPr>
            <w:tcW w:w="1418" w:type="dxa"/>
            <w:tcBorders>
              <w:top w:val="single" w:sz="24" w:space="0" w:color="auto"/>
              <w:left w:val="single" w:sz="4" w:space="0" w:color="auto"/>
              <w:bottom w:val="single" w:sz="24" w:space="0" w:color="auto"/>
              <w:right w:val="single" w:sz="4" w:space="0" w:color="auto"/>
            </w:tcBorders>
            <w:hideMark/>
          </w:tcPr>
          <w:p w:rsidR="00EC6991" w:rsidRPr="001B6596" w:rsidRDefault="00EC6991" w:rsidP="00EC6991">
            <w:pPr>
              <w:autoSpaceDE w:val="0"/>
              <w:autoSpaceDN w:val="0"/>
              <w:bidi w:val="0"/>
              <w:adjustRightInd w:val="0"/>
              <w:spacing w:line="360" w:lineRule="auto"/>
              <w:ind w:left="-1134" w:right="-1050"/>
              <w:jc w:val="center"/>
            </w:pPr>
            <w:r w:rsidRPr="001B6596">
              <w:t>Specefity (%)</w:t>
            </w:r>
          </w:p>
        </w:tc>
        <w:tc>
          <w:tcPr>
            <w:tcW w:w="1843" w:type="dxa"/>
            <w:tcBorders>
              <w:top w:val="single" w:sz="24" w:space="0" w:color="auto"/>
              <w:left w:val="single" w:sz="4" w:space="0" w:color="auto"/>
              <w:bottom w:val="single" w:sz="24" w:space="0" w:color="auto"/>
              <w:right w:val="single" w:sz="4" w:space="0" w:color="auto"/>
            </w:tcBorders>
            <w:hideMark/>
          </w:tcPr>
          <w:p w:rsidR="00127984" w:rsidRDefault="00EC6991" w:rsidP="00EC6991">
            <w:pPr>
              <w:autoSpaceDE w:val="0"/>
              <w:autoSpaceDN w:val="0"/>
              <w:bidi w:val="0"/>
              <w:adjustRightInd w:val="0"/>
              <w:spacing w:line="360" w:lineRule="auto"/>
              <w:ind w:left="-1134" w:right="-1050"/>
              <w:jc w:val="center"/>
            </w:pPr>
            <w:r>
              <w:t>Positive predictive</w:t>
            </w:r>
          </w:p>
          <w:p w:rsidR="00EC6991" w:rsidRPr="001B6596" w:rsidRDefault="00EC6991" w:rsidP="00127984">
            <w:pPr>
              <w:autoSpaceDE w:val="0"/>
              <w:autoSpaceDN w:val="0"/>
              <w:bidi w:val="0"/>
              <w:adjustRightInd w:val="0"/>
              <w:spacing w:line="360" w:lineRule="auto"/>
              <w:ind w:left="-1134" w:right="-1050"/>
              <w:jc w:val="center"/>
            </w:pPr>
            <w:r>
              <w:t xml:space="preserve"> value (%)</w:t>
            </w:r>
          </w:p>
        </w:tc>
        <w:tc>
          <w:tcPr>
            <w:tcW w:w="2268" w:type="dxa"/>
            <w:tcBorders>
              <w:top w:val="single" w:sz="24" w:space="0" w:color="auto"/>
              <w:left w:val="single" w:sz="4" w:space="0" w:color="auto"/>
              <w:bottom w:val="single" w:sz="24" w:space="0" w:color="auto"/>
              <w:right w:val="single" w:sz="24" w:space="0" w:color="auto"/>
            </w:tcBorders>
            <w:hideMark/>
          </w:tcPr>
          <w:p w:rsidR="00127984" w:rsidRDefault="00EC6991" w:rsidP="00EC6991">
            <w:pPr>
              <w:autoSpaceDE w:val="0"/>
              <w:autoSpaceDN w:val="0"/>
              <w:bidi w:val="0"/>
              <w:adjustRightInd w:val="0"/>
              <w:spacing w:line="360" w:lineRule="auto"/>
              <w:ind w:left="-1134" w:right="-1050"/>
              <w:jc w:val="center"/>
            </w:pPr>
            <w:r>
              <w:t>Negative</w:t>
            </w:r>
            <w:r>
              <w:t xml:space="preserve"> </w:t>
            </w:r>
            <w:r>
              <w:t xml:space="preserve">predictive </w:t>
            </w:r>
          </w:p>
          <w:p w:rsidR="00EC6991" w:rsidRPr="001B6596" w:rsidRDefault="00EC6991" w:rsidP="00127984">
            <w:pPr>
              <w:autoSpaceDE w:val="0"/>
              <w:autoSpaceDN w:val="0"/>
              <w:bidi w:val="0"/>
              <w:adjustRightInd w:val="0"/>
              <w:spacing w:line="360" w:lineRule="auto"/>
              <w:ind w:left="-1134" w:right="-1050"/>
              <w:jc w:val="center"/>
            </w:pPr>
            <w:r>
              <w:t>value</w:t>
            </w:r>
            <w:r>
              <w:t xml:space="preserve"> (%)</w:t>
            </w:r>
          </w:p>
        </w:tc>
      </w:tr>
      <w:tr w:rsidR="00127984" w:rsidRPr="001B6596" w:rsidTr="00127984">
        <w:tc>
          <w:tcPr>
            <w:tcW w:w="1418" w:type="dxa"/>
            <w:tcBorders>
              <w:top w:val="single" w:sz="24" w:space="0" w:color="auto"/>
              <w:left w:val="single" w:sz="24" w:space="0" w:color="auto"/>
              <w:bottom w:val="single" w:sz="4" w:space="0" w:color="auto"/>
              <w:right w:val="single" w:sz="24" w:space="0" w:color="auto"/>
            </w:tcBorders>
            <w:hideMark/>
          </w:tcPr>
          <w:p w:rsidR="00EC6991" w:rsidRPr="001B6596" w:rsidRDefault="00EC6991" w:rsidP="00EC6991">
            <w:pPr>
              <w:autoSpaceDE w:val="0"/>
              <w:autoSpaceDN w:val="0"/>
              <w:adjustRightInd w:val="0"/>
              <w:spacing w:line="320" w:lineRule="atLeast"/>
              <w:ind w:left="-1134" w:right="-1050"/>
              <w:jc w:val="center"/>
            </w:pPr>
            <w:r w:rsidRPr="001B6596">
              <w:t>AST (IU/L)</w:t>
            </w:r>
          </w:p>
        </w:tc>
        <w:tc>
          <w:tcPr>
            <w:tcW w:w="1276" w:type="dxa"/>
            <w:tcBorders>
              <w:top w:val="single" w:sz="24" w:space="0" w:color="auto"/>
              <w:left w:val="single" w:sz="24" w:space="0" w:color="auto"/>
              <w:bottom w:val="single" w:sz="4" w:space="0" w:color="auto"/>
              <w:right w:val="single" w:sz="24" w:space="0" w:color="auto"/>
            </w:tcBorders>
            <w:hideMark/>
          </w:tcPr>
          <w:p w:rsidR="00EC6991" w:rsidRPr="001B6596" w:rsidRDefault="00EC6991" w:rsidP="00EC6991">
            <w:pPr>
              <w:autoSpaceDE w:val="0"/>
              <w:autoSpaceDN w:val="0"/>
              <w:bidi w:val="0"/>
              <w:adjustRightInd w:val="0"/>
              <w:spacing w:line="360" w:lineRule="auto"/>
              <w:ind w:left="-1134" w:right="-1050"/>
              <w:jc w:val="center"/>
            </w:pPr>
            <w:r w:rsidRPr="001B6596">
              <w:t>77.5</w:t>
            </w:r>
          </w:p>
        </w:tc>
        <w:tc>
          <w:tcPr>
            <w:tcW w:w="1559" w:type="dxa"/>
            <w:tcBorders>
              <w:top w:val="single" w:sz="24" w:space="0" w:color="auto"/>
              <w:left w:val="single" w:sz="24" w:space="0" w:color="auto"/>
              <w:bottom w:val="single" w:sz="4" w:space="0" w:color="auto"/>
              <w:right w:val="single" w:sz="4" w:space="0" w:color="auto"/>
            </w:tcBorders>
            <w:hideMark/>
          </w:tcPr>
          <w:p w:rsidR="00EC6991" w:rsidRPr="001B6596" w:rsidRDefault="00EC6991" w:rsidP="00EC6991">
            <w:pPr>
              <w:autoSpaceDE w:val="0"/>
              <w:autoSpaceDN w:val="0"/>
              <w:bidi w:val="0"/>
              <w:adjustRightInd w:val="0"/>
              <w:spacing w:line="360" w:lineRule="auto"/>
              <w:ind w:left="-1134" w:right="-1050"/>
              <w:jc w:val="center"/>
            </w:pPr>
            <w:r w:rsidRPr="001B6596">
              <w:t>36.1</w:t>
            </w:r>
          </w:p>
        </w:tc>
        <w:tc>
          <w:tcPr>
            <w:tcW w:w="1418" w:type="dxa"/>
            <w:tcBorders>
              <w:top w:val="single" w:sz="24" w:space="0" w:color="auto"/>
              <w:left w:val="single" w:sz="4" w:space="0" w:color="auto"/>
              <w:bottom w:val="single" w:sz="4" w:space="0" w:color="auto"/>
              <w:right w:val="single" w:sz="4" w:space="0" w:color="auto"/>
            </w:tcBorders>
            <w:hideMark/>
          </w:tcPr>
          <w:p w:rsidR="00EC6991" w:rsidRPr="001B6596" w:rsidRDefault="00EC6991" w:rsidP="00EC6991">
            <w:pPr>
              <w:autoSpaceDE w:val="0"/>
              <w:autoSpaceDN w:val="0"/>
              <w:bidi w:val="0"/>
              <w:adjustRightInd w:val="0"/>
              <w:spacing w:line="360" w:lineRule="auto"/>
              <w:ind w:left="-1134" w:right="-1050"/>
              <w:jc w:val="center"/>
            </w:pPr>
            <w:r w:rsidRPr="001B6596">
              <w:t>96.2</w:t>
            </w:r>
          </w:p>
        </w:tc>
        <w:tc>
          <w:tcPr>
            <w:tcW w:w="1843" w:type="dxa"/>
            <w:tcBorders>
              <w:top w:val="single" w:sz="24" w:space="0" w:color="auto"/>
              <w:left w:val="single" w:sz="4" w:space="0" w:color="auto"/>
              <w:bottom w:val="single" w:sz="4" w:space="0" w:color="auto"/>
              <w:right w:val="single" w:sz="4" w:space="0" w:color="auto"/>
            </w:tcBorders>
            <w:hideMark/>
          </w:tcPr>
          <w:p w:rsidR="00EC6991" w:rsidRPr="001B6596" w:rsidRDefault="00EC6991" w:rsidP="00EC6991">
            <w:pPr>
              <w:autoSpaceDE w:val="0"/>
              <w:autoSpaceDN w:val="0"/>
              <w:bidi w:val="0"/>
              <w:adjustRightInd w:val="0"/>
              <w:spacing w:line="360" w:lineRule="auto"/>
              <w:ind w:left="-1134" w:right="-1050"/>
              <w:jc w:val="center"/>
            </w:pPr>
            <w:r w:rsidRPr="001B6596">
              <w:t>93</w:t>
            </w:r>
          </w:p>
        </w:tc>
        <w:tc>
          <w:tcPr>
            <w:tcW w:w="2268" w:type="dxa"/>
            <w:tcBorders>
              <w:top w:val="single" w:sz="24" w:space="0" w:color="auto"/>
              <w:left w:val="single" w:sz="4" w:space="0" w:color="auto"/>
              <w:bottom w:val="single" w:sz="4" w:space="0" w:color="auto"/>
              <w:right w:val="single" w:sz="24" w:space="0" w:color="auto"/>
            </w:tcBorders>
            <w:hideMark/>
          </w:tcPr>
          <w:p w:rsidR="00EC6991" w:rsidRPr="001B6596" w:rsidRDefault="00EC6991" w:rsidP="00EC6991">
            <w:pPr>
              <w:autoSpaceDE w:val="0"/>
              <w:autoSpaceDN w:val="0"/>
              <w:bidi w:val="0"/>
              <w:adjustRightInd w:val="0"/>
              <w:spacing w:line="360" w:lineRule="auto"/>
              <w:ind w:left="-1134" w:right="-1050"/>
              <w:jc w:val="center"/>
            </w:pPr>
            <w:r w:rsidRPr="001B6596">
              <w:t>52</w:t>
            </w:r>
          </w:p>
        </w:tc>
      </w:tr>
      <w:tr w:rsidR="00127984" w:rsidRPr="001B6596" w:rsidTr="00127984">
        <w:tc>
          <w:tcPr>
            <w:tcW w:w="1418" w:type="dxa"/>
            <w:tcBorders>
              <w:top w:val="single" w:sz="4" w:space="0" w:color="auto"/>
              <w:left w:val="single" w:sz="24" w:space="0" w:color="auto"/>
              <w:bottom w:val="single" w:sz="4" w:space="0" w:color="auto"/>
              <w:right w:val="single" w:sz="24" w:space="0" w:color="auto"/>
            </w:tcBorders>
            <w:hideMark/>
          </w:tcPr>
          <w:p w:rsidR="00127984" w:rsidRDefault="00EC6991" w:rsidP="00EC6991">
            <w:pPr>
              <w:autoSpaceDE w:val="0"/>
              <w:autoSpaceDN w:val="0"/>
              <w:adjustRightInd w:val="0"/>
              <w:spacing w:line="320" w:lineRule="atLeast"/>
              <w:ind w:left="-1134" w:right="-1050"/>
              <w:jc w:val="center"/>
            </w:pPr>
            <w:r w:rsidRPr="001B6596">
              <w:t xml:space="preserve"> Bilirubin</w:t>
            </w:r>
          </w:p>
          <w:p w:rsidR="00EC6991" w:rsidRPr="001B6596" w:rsidRDefault="00EC6991" w:rsidP="00EC6991">
            <w:pPr>
              <w:autoSpaceDE w:val="0"/>
              <w:autoSpaceDN w:val="0"/>
              <w:adjustRightInd w:val="0"/>
              <w:spacing w:line="320" w:lineRule="atLeast"/>
              <w:ind w:left="-1134" w:right="-1050"/>
              <w:jc w:val="center"/>
            </w:pPr>
            <w:r w:rsidRPr="001B6596">
              <w:t xml:space="preserve"> (mg/dl)</w:t>
            </w:r>
          </w:p>
        </w:tc>
        <w:tc>
          <w:tcPr>
            <w:tcW w:w="1276" w:type="dxa"/>
            <w:tcBorders>
              <w:top w:val="single" w:sz="4" w:space="0" w:color="auto"/>
              <w:left w:val="single" w:sz="24" w:space="0" w:color="auto"/>
              <w:bottom w:val="single" w:sz="4" w:space="0" w:color="auto"/>
              <w:right w:val="single" w:sz="24" w:space="0" w:color="auto"/>
            </w:tcBorders>
            <w:hideMark/>
          </w:tcPr>
          <w:p w:rsidR="00EC6991" w:rsidRPr="001B6596" w:rsidRDefault="00EC6991" w:rsidP="00EC6991">
            <w:pPr>
              <w:autoSpaceDE w:val="0"/>
              <w:autoSpaceDN w:val="0"/>
              <w:bidi w:val="0"/>
              <w:adjustRightInd w:val="0"/>
              <w:spacing w:line="360" w:lineRule="auto"/>
              <w:ind w:left="-1134" w:right="-1050"/>
              <w:jc w:val="center"/>
            </w:pPr>
            <w:r w:rsidRPr="001B6596">
              <w:t>1.45</w:t>
            </w:r>
          </w:p>
        </w:tc>
        <w:tc>
          <w:tcPr>
            <w:tcW w:w="1559" w:type="dxa"/>
            <w:tcBorders>
              <w:top w:val="single" w:sz="4" w:space="0" w:color="auto"/>
              <w:left w:val="single" w:sz="24" w:space="0" w:color="auto"/>
              <w:bottom w:val="single" w:sz="4" w:space="0" w:color="auto"/>
              <w:right w:val="single" w:sz="4" w:space="0" w:color="auto"/>
            </w:tcBorders>
            <w:hideMark/>
          </w:tcPr>
          <w:p w:rsidR="00EC6991" w:rsidRPr="001B6596" w:rsidRDefault="00EC6991" w:rsidP="00EC6991">
            <w:pPr>
              <w:autoSpaceDE w:val="0"/>
              <w:autoSpaceDN w:val="0"/>
              <w:bidi w:val="0"/>
              <w:adjustRightInd w:val="0"/>
              <w:spacing w:line="360" w:lineRule="auto"/>
              <w:ind w:left="-1134" w:right="-1050"/>
              <w:jc w:val="center"/>
            </w:pPr>
            <w:r w:rsidRPr="001B6596">
              <w:t>38.9</w:t>
            </w:r>
          </w:p>
        </w:tc>
        <w:tc>
          <w:tcPr>
            <w:tcW w:w="1418" w:type="dxa"/>
            <w:tcBorders>
              <w:top w:val="single" w:sz="4" w:space="0" w:color="auto"/>
              <w:left w:val="single" w:sz="4" w:space="0" w:color="auto"/>
              <w:bottom w:val="single" w:sz="4" w:space="0" w:color="auto"/>
              <w:right w:val="single" w:sz="4" w:space="0" w:color="auto"/>
            </w:tcBorders>
            <w:hideMark/>
          </w:tcPr>
          <w:p w:rsidR="00EC6991" w:rsidRPr="001B6596" w:rsidRDefault="00EC6991" w:rsidP="00EC6991">
            <w:pPr>
              <w:autoSpaceDE w:val="0"/>
              <w:autoSpaceDN w:val="0"/>
              <w:bidi w:val="0"/>
              <w:adjustRightInd w:val="0"/>
              <w:spacing w:line="360" w:lineRule="auto"/>
              <w:ind w:left="-1134" w:right="-1050"/>
              <w:jc w:val="center"/>
            </w:pPr>
            <w:r w:rsidRPr="001B6596">
              <w:t>88.5</w:t>
            </w:r>
          </w:p>
        </w:tc>
        <w:tc>
          <w:tcPr>
            <w:tcW w:w="1843" w:type="dxa"/>
            <w:tcBorders>
              <w:top w:val="single" w:sz="4" w:space="0" w:color="auto"/>
              <w:left w:val="single" w:sz="4" w:space="0" w:color="auto"/>
              <w:bottom w:val="single" w:sz="4" w:space="0" w:color="auto"/>
              <w:right w:val="single" w:sz="4" w:space="0" w:color="auto"/>
            </w:tcBorders>
            <w:hideMark/>
          </w:tcPr>
          <w:p w:rsidR="00EC6991" w:rsidRPr="001B6596" w:rsidRDefault="00EC6991" w:rsidP="00EC6991">
            <w:pPr>
              <w:autoSpaceDE w:val="0"/>
              <w:autoSpaceDN w:val="0"/>
              <w:bidi w:val="0"/>
              <w:adjustRightInd w:val="0"/>
              <w:spacing w:line="360" w:lineRule="auto"/>
              <w:ind w:left="-1134" w:right="-1050"/>
              <w:jc w:val="center"/>
            </w:pPr>
            <w:r w:rsidRPr="001B6596">
              <w:t>82</w:t>
            </w:r>
          </w:p>
        </w:tc>
        <w:tc>
          <w:tcPr>
            <w:tcW w:w="2268" w:type="dxa"/>
            <w:tcBorders>
              <w:top w:val="single" w:sz="4" w:space="0" w:color="auto"/>
              <w:left w:val="single" w:sz="4" w:space="0" w:color="auto"/>
              <w:bottom w:val="single" w:sz="4" w:space="0" w:color="auto"/>
              <w:right w:val="single" w:sz="24" w:space="0" w:color="auto"/>
            </w:tcBorders>
            <w:hideMark/>
          </w:tcPr>
          <w:p w:rsidR="00EC6991" w:rsidRPr="001B6596" w:rsidRDefault="00EC6991" w:rsidP="00EC6991">
            <w:pPr>
              <w:autoSpaceDE w:val="0"/>
              <w:autoSpaceDN w:val="0"/>
              <w:bidi w:val="0"/>
              <w:adjustRightInd w:val="0"/>
              <w:spacing w:line="360" w:lineRule="auto"/>
              <w:ind w:left="-1134" w:right="-1050"/>
              <w:jc w:val="center"/>
            </w:pPr>
            <w:r w:rsidRPr="001B6596">
              <w:t>51</w:t>
            </w:r>
          </w:p>
        </w:tc>
      </w:tr>
      <w:tr w:rsidR="00127984" w:rsidRPr="001B6596" w:rsidTr="00127984">
        <w:tc>
          <w:tcPr>
            <w:tcW w:w="1418" w:type="dxa"/>
            <w:tcBorders>
              <w:top w:val="single" w:sz="4" w:space="0" w:color="auto"/>
              <w:left w:val="single" w:sz="24" w:space="0" w:color="auto"/>
              <w:bottom w:val="single" w:sz="4" w:space="0" w:color="auto"/>
              <w:right w:val="single" w:sz="24" w:space="0" w:color="auto"/>
            </w:tcBorders>
            <w:hideMark/>
          </w:tcPr>
          <w:p w:rsidR="00EC6991" w:rsidRPr="001B6596" w:rsidRDefault="00EC6991" w:rsidP="00EC6991">
            <w:pPr>
              <w:autoSpaceDE w:val="0"/>
              <w:autoSpaceDN w:val="0"/>
              <w:adjustRightInd w:val="0"/>
              <w:spacing w:line="320" w:lineRule="atLeast"/>
              <w:ind w:left="-1134" w:right="-1050"/>
              <w:jc w:val="center"/>
            </w:pPr>
            <w:r w:rsidRPr="001B6596">
              <w:t>INR</w:t>
            </w:r>
          </w:p>
        </w:tc>
        <w:tc>
          <w:tcPr>
            <w:tcW w:w="1276" w:type="dxa"/>
            <w:tcBorders>
              <w:top w:val="single" w:sz="4" w:space="0" w:color="auto"/>
              <w:left w:val="single" w:sz="24" w:space="0" w:color="auto"/>
              <w:bottom w:val="single" w:sz="4" w:space="0" w:color="auto"/>
              <w:right w:val="single" w:sz="24" w:space="0" w:color="auto"/>
            </w:tcBorders>
            <w:hideMark/>
          </w:tcPr>
          <w:p w:rsidR="00EC6991" w:rsidRPr="001B6596" w:rsidRDefault="00EC6991" w:rsidP="00EC6991">
            <w:pPr>
              <w:autoSpaceDE w:val="0"/>
              <w:autoSpaceDN w:val="0"/>
              <w:bidi w:val="0"/>
              <w:adjustRightInd w:val="0"/>
              <w:spacing w:line="360" w:lineRule="auto"/>
              <w:ind w:left="-1134" w:right="-1050"/>
              <w:jc w:val="center"/>
            </w:pPr>
            <w:r w:rsidRPr="001B6596">
              <w:t>1.2</w:t>
            </w:r>
          </w:p>
        </w:tc>
        <w:tc>
          <w:tcPr>
            <w:tcW w:w="1559" w:type="dxa"/>
            <w:tcBorders>
              <w:top w:val="single" w:sz="4" w:space="0" w:color="auto"/>
              <w:left w:val="single" w:sz="24" w:space="0" w:color="auto"/>
              <w:bottom w:val="single" w:sz="4" w:space="0" w:color="auto"/>
              <w:right w:val="single" w:sz="4" w:space="0" w:color="auto"/>
            </w:tcBorders>
            <w:hideMark/>
          </w:tcPr>
          <w:p w:rsidR="00EC6991" w:rsidRPr="001B6596" w:rsidRDefault="00EC6991" w:rsidP="00EC6991">
            <w:pPr>
              <w:autoSpaceDE w:val="0"/>
              <w:autoSpaceDN w:val="0"/>
              <w:bidi w:val="0"/>
              <w:adjustRightInd w:val="0"/>
              <w:spacing w:line="360" w:lineRule="auto"/>
              <w:ind w:left="-1134" w:right="-1050"/>
              <w:jc w:val="center"/>
            </w:pPr>
            <w:r w:rsidRPr="001B6596">
              <w:t>61.1</w:t>
            </w:r>
          </w:p>
        </w:tc>
        <w:tc>
          <w:tcPr>
            <w:tcW w:w="1418" w:type="dxa"/>
            <w:tcBorders>
              <w:top w:val="single" w:sz="4" w:space="0" w:color="auto"/>
              <w:left w:val="single" w:sz="4" w:space="0" w:color="auto"/>
              <w:bottom w:val="single" w:sz="4" w:space="0" w:color="auto"/>
              <w:right w:val="single" w:sz="4" w:space="0" w:color="auto"/>
            </w:tcBorders>
            <w:hideMark/>
          </w:tcPr>
          <w:p w:rsidR="00EC6991" w:rsidRPr="001B6596" w:rsidRDefault="00EC6991" w:rsidP="00EC6991">
            <w:pPr>
              <w:autoSpaceDE w:val="0"/>
              <w:autoSpaceDN w:val="0"/>
              <w:bidi w:val="0"/>
              <w:adjustRightInd w:val="0"/>
              <w:spacing w:line="360" w:lineRule="auto"/>
              <w:ind w:left="-1134" w:right="-1050"/>
              <w:jc w:val="center"/>
            </w:pPr>
            <w:r w:rsidRPr="001B6596">
              <w:t>92.3</w:t>
            </w:r>
          </w:p>
        </w:tc>
        <w:tc>
          <w:tcPr>
            <w:tcW w:w="1843" w:type="dxa"/>
            <w:tcBorders>
              <w:top w:val="single" w:sz="4" w:space="0" w:color="auto"/>
              <w:left w:val="single" w:sz="4" w:space="0" w:color="auto"/>
              <w:bottom w:val="single" w:sz="4" w:space="0" w:color="auto"/>
              <w:right w:val="single" w:sz="4" w:space="0" w:color="auto"/>
            </w:tcBorders>
            <w:hideMark/>
          </w:tcPr>
          <w:p w:rsidR="00EC6991" w:rsidRPr="001B6596" w:rsidRDefault="00EC6991" w:rsidP="00EC6991">
            <w:pPr>
              <w:autoSpaceDE w:val="0"/>
              <w:autoSpaceDN w:val="0"/>
              <w:bidi w:val="0"/>
              <w:adjustRightInd w:val="0"/>
              <w:spacing w:line="360" w:lineRule="auto"/>
              <w:ind w:left="-1134" w:right="-1050"/>
              <w:jc w:val="center"/>
            </w:pPr>
            <w:r w:rsidRPr="001B6596">
              <w:t>92</w:t>
            </w:r>
          </w:p>
        </w:tc>
        <w:tc>
          <w:tcPr>
            <w:tcW w:w="2268" w:type="dxa"/>
            <w:tcBorders>
              <w:top w:val="single" w:sz="4" w:space="0" w:color="auto"/>
              <w:left w:val="single" w:sz="4" w:space="0" w:color="auto"/>
              <w:bottom w:val="single" w:sz="4" w:space="0" w:color="auto"/>
              <w:right w:val="single" w:sz="24" w:space="0" w:color="auto"/>
            </w:tcBorders>
            <w:hideMark/>
          </w:tcPr>
          <w:p w:rsidR="00EC6991" w:rsidRPr="001B6596" w:rsidRDefault="00EC6991" w:rsidP="00EC6991">
            <w:pPr>
              <w:autoSpaceDE w:val="0"/>
              <w:autoSpaceDN w:val="0"/>
              <w:bidi w:val="0"/>
              <w:adjustRightInd w:val="0"/>
              <w:spacing w:line="360" w:lineRule="auto"/>
              <w:ind w:left="-1134" w:right="-1050"/>
              <w:jc w:val="center"/>
            </w:pPr>
            <w:r w:rsidRPr="001B6596">
              <w:t>63</w:t>
            </w:r>
          </w:p>
        </w:tc>
      </w:tr>
      <w:tr w:rsidR="00127984" w:rsidRPr="001B6596" w:rsidTr="00127984">
        <w:tc>
          <w:tcPr>
            <w:tcW w:w="1418" w:type="dxa"/>
            <w:tcBorders>
              <w:top w:val="single" w:sz="4" w:space="0" w:color="auto"/>
              <w:left w:val="single" w:sz="24" w:space="0" w:color="auto"/>
              <w:bottom w:val="single" w:sz="4" w:space="0" w:color="auto"/>
              <w:right w:val="single" w:sz="24" w:space="0" w:color="auto"/>
            </w:tcBorders>
            <w:hideMark/>
          </w:tcPr>
          <w:p w:rsidR="00EC6991" w:rsidRPr="001B6596" w:rsidRDefault="00EC6991" w:rsidP="00EC6991">
            <w:pPr>
              <w:autoSpaceDE w:val="0"/>
              <w:autoSpaceDN w:val="0"/>
              <w:adjustRightInd w:val="0"/>
              <w:spacing w:line="320" w:lineRule="atLeast"/>
              <w:ind w:left="-1134" w:right="-1050"/>
              <w:jc w:val="center"/>
            </w:pPr>
            <w:r w:rsidRPr="001B6596">
              <w:t>MELD</w:t>
            </w:r>
          </w:p>
        </w:tc>
        <w:tc>
          <w:tcPr>
            <w:tcW w:w="1276" w:type="dxa"/>
            <w:tcBorders>
              <w:top w:val="single" w:sz="4" w:space="0" w:color="auto"/>
              <w:left w:val="single" w:sz="24" w:space="0" w:color="auto"/>
              <w:bottom w:val="single" w:sz="4" w:space="0" w:color="auto"/>
              <w:right w:val="single" w:sz="24" w:space="0" w:color="auto"/>
            </w:tcBorders>
            <w:hideMark/>
          </w:tcPr>
          <w:p w:rsidR="00EC6991" w:rsidRPr="001B6596" w:rsidRDefault="00EC6991" w:rsidP="00EC6991">
            <w:pPr>
              <w:autoSpaceDE w:val="0"/>
              <w:autoSpaceDN w:val="0"/>
              <w:bidi w:val="0"/>
              <w:adjustRightInd w:val="0"/>
              <w:spacing w:line="360" w:lineRule="auto"/>
              <w:ind w:left="-1134" w:right="-1050"/>
              <w:jc w:val="center"/>
            </w:pPr>
            <w:r w:rsidRPr="001B6596">
              <w:t>8.5</w:t>
            </w:r>
          </w:p>
        </w:tc>
        <w:tc>
          <w:tcPr>
            <w:tcW w:w="1559" w:type="dxa"/>
            <w:tcBorders>
              <w:top w:val="single" w:sz="4" w:space="0" w:color="auto"/>
              <w:left w:val="single" w:sz="24" w:space="0" w:color="auto"/>
              <w:bottom w:val="single" w:sz="4" w:space="0" w:color="auto"/>
              <w:right w:val="single" w:sz="4" w:space="0" w:color="auto"/>
            </w:tcBorders>
            <w:hideMark/>
          </w:tcPr>
          <w:p w:rsidR="00EC6991" w:rsidRPr="001B6596" w:rsidRDefault="00EC6991" w:rsidP="00EC6991">
            <w:pPr>
              <w:autoSpaceDE w:val="0"/>
              <w:autoSpaceDN w:val="0"/>
              <w:bidi w:val="0"/>
              <w:adjustRightInd w:val="0"/>
              <w:spacing w:line="360" w:lineRule="auto"/>
              <w:ind w:left="-1134" w:right="-1050"/>
              <w:jc w:val="center"/>
            </w:pPr>
            <w:r w:rsidRPr="001B6596">
              <w:t>80.6</w:t>
            </w:r>
          </w:p>
        </w:tc>
        <w:tc>
          <w:tcPr>
            <w:tcW w:w="1418" w:type="dxa"/>
            <w:tcBorders>
              <w:top w:val="single" w:sz="4" w:space="0" w:color="auto"/>
              <w:left w:val="single" w:sz="4" w:space="0" w:color="auto"/>
              <w:bottom w:val="single" w:sz="4" w:space="0" w:color="auto"/>
              <w:right w:val="single" w:sz="4" w:space="0" w:color="auto"/>
            </w:tcBorders>
            <w:hideMark/>
          </w:tcPr>
          <w:p w:rsidR="00EC6991" w:rsidRPr="001B6596" w:rsidRDefault="00EC6991" w:rsidP="00EC6991">
            <w:pPr>
              <w:autoSpaceDE w:val="0"/>
              <w:autoSpaceDN w:val="0"/>
              <w:bidi w:val="0"/>
              <w:adjustRightInd w:val="0"/>
              <w:spacing w:line="360" w:lineRule="auto"/>
              <w:ind w:left="-1134" w:right="-1050"/>
              <w:jc w:val="center"/>
            </w:pPr>
            <w:r w:rsidRPr="001B6596">
              <w:t>73.1</w:t>
            </w:r>
          </w:p>
        </w:tc>
        <w:tc>
          <w:tcPr>
            <w:tcW w:w="1843" w:type="dxa"/>
            <w:tcBorders>
              <w:top w:val="single" w:sz="4" w:space="0" w:color="auto"/>
              <w:left w:val="single" w:sz="4" w:space="0" w:color="auto"/>
              <w:bottom w:val="single" w:sz="4" w:space="0" w:color="auto"/>
              <w:right w:val="single" w:sz="4" w:space="0" w:color="auto"/>
            </w:tcBorders>
            <w:hideMark/>
          </w:tcPr>
          <w:p w:rsidR="00EC6991" w:rsidRPr="001B6596" w:rsidRDefault="00EC6991" w:rsidP="00EC6991">
            <w:pPr>
              <w:autoSpaceDE w:val="0"/>
              <w:autoSpaceDN w:val="0"/>
              <w:bidi w:val="0"/>
              <w:adjustRightInd w:val="0"/>
              <w:spacing w:line="360" w:lineRule="auto"/>
              <w:ind w:left="-1134" w:right="-1050"/>
              <w:jc w:val="center"/>
            </w:pPr>
            <w:r w:rsidRPr="001B6596">
              <w:t>80.6</w:t>
            </w:r>
          </w:p>
        </w:tc>
        <w:tc>
          <w:tcPr>
            <w:tcW w:w="2268" w:type="dxa"/>
            <w:tcBorders>
              <w:top w:val="single" w:sz="4" w:space="0" w:color="auto"/>
              <w:left w:val="single" w:sz="4" w:space="0" w:color="auto"/>
              <w:bottom w:val="single" w:sz="4" w:space="0" w:color="auto"/>
              <w:right w:val="single" w:sz="24" w:space="0" w:color="auto"/>
            </w:tcBorders>
            <w:hideMark/>
          </w:tcPr>
          <w:p w:rsidR="00EC6991" w:rsidRPr="001B6596" w:rsidRDefault="00EC6991" w:rsidP="00EC6991">
            <w:pPr>
              <w:autoSpaceDE w:val="0"/>
              <w:autoSpaceDN w:val="0"/>
              <w:bidi w:val="0"/>
              <w:adjustRightInd w:val="0"/>
              <w:spacing w:line="360" w:lineRule="auto"/>
              <w:ind w:left="-1134" w:right="-1050"/>
              <w:jc w:val="center"/>
            </w:pPr>
            <w:r w:rsidRPr="001B6596">
              <w:t>73.1</w:t>
            </w:r>
          </w:p>
        </w:tc>
      </w:tr>
      <w:tr w:rsidR="00127984" w:rsidRPr="001B6596" w:rsidTr="00127984">
        <w:tc>
          <w:tcPr>
            <w:tcW w:w="1418" w:type="dxa"/>
            <w:tcBorders>
              <w:top w:val="single" w:sz="4" w:space="0" w:color="auto"/>
              <w:left w:val="single" w:sz="24" w:space="0" w:color="auto"/>
              <w:bottom w:val="single" w:sz="24" w:space="0" w:color="auto"/>
              <w:right w:val="single" w:sz="24" w:space="0" w:color="auto"/>
            </w:tcBorders>
            <w:hideMark/>
          </w:tcPr>
          <w:p w:rsidR="00EC6991" w:rsidRPr="001B6596" w:rsidRDefault="00EC6991" w:rsidP="00EC6991">
            <w:pPr>
              <w:autoSpaceDE w:val="0"/>
              <w:autoSpaceDN w:val="0"/>
              <w:adjustRightInd w:val="0"/>
              <w:spacing w:line="320" w:lineRule="atLeast"/>
              <w:ind w:left="-1134" w:right="-1050"/>
              <w:jc w:val="center"/>
            </w:pPr>
            <w:r w:rsidRPr="001B6596">
              <w:t>Platelets x103</w:t>
            </w:r>
          </w:p>
        </w:tc>
        <w:tc>
          <w:tcPr>
            <w:tcW w:w="1276" w:type="dxa"/>
            <w:tcBorders>
              <w:top w:val="single" w:sz="4" w:space="0" w:color="auto"/>
              <w:left w:val="single" w:sz="24" w:space="0" w:color="auto"/>
              <w:bottom w:val="single" w:sz="24" w:space="0" w:color="auto"/>
              <w:right w:val="single" w:sz="24" w:space="0" w:color="auto"/>
            </w:tcBorders>
            <w:hideMark/>
          </w:tcPr>
          <w:p w:rsidR="00EC6991" w:rsidRPr="001B6596" w:rsidRDefault="00EC6991" w:rsidP="00EC6991">
            <w:pPr>
              <w:autoSpaceDE w:val="0"/>
              <w:autoSpaceDN w:val="0"/>
              <w:bidi w:val="0"/>
              <w:adjustRightInd w:val="0"/>
              <w:spacing w:line="360" w:lineRule="auto"/>
              <w:ind w:left="-1134" w:right="-1050"/>
              <w:jc w:val="center"/>
            </w:pPr>
            <w:r w:rsidRPr="001B6596">
              <w:t xml:space="preserve">80 </w:t>
            </w:r>
          </w:p>
        </w:tc>
        <w:tc>
          <w:tcPr>
            <w:tcW w:w="1559" w:type="dxa"/>
            <w:tcBorders>
              <w:top w:val="single" w:sz="4" w:space="0" w:color="auto"/>
              <w:left w:val="single" w:sz="24" w:space="0" w:color="auto"/>
              <w:bottom w:val="single" w:sz="24" w:space="0" w:color="auto"/>
              <w:right w:val="single" w:sz="4" w:space="0" w:color="auto"/>
            </w:tcBorders>
            <w:hideMark/>
          </w:tcPr>
          <w:p w:rsidR="00EC6991" w:rsidRPr="001B6596" w:rsidRDefault="00EC6991" w:rsidP="00EC6991">
            <w:pPr>
              <w:autoSpaceDE w:val="0"/>
              <w:autoSpaceDN w:val="0"/>
              <w:bidi w:val="0"/>
              <w:adjustRightInd w:val="0"/>
              <w:spacing w:line="360" w:lineRule="auto"/>
              <w:ind w:left="-1134" w:right="-1050"/>
              <w:jc w:val="center"/>
            </w:pPr>
            <w:r w:rsidRPr="001B6596">
              <w:t>33.3</w:t>
            </w:r>
          </w:p>
        </w:tc>
        <w:tc>
          <w:tcPr>
            <w:tcW w:w="1418" w:type="dxa"/>
            <w:tcBorders>
              <w:top w:val="single" w:sz="4" w:space="0" w:color="auto"/>
              <w:left w:val="single" w:sz="4" w:space="0" w:color="auto"/>
              <w:bottom w:val="single" w:sz="24" w:space="0" w:color="auto"/>
              <w:right w:val="single" w:sz="4" w:space="0" w:color="auto"/>
            </w:tcBorders>
            <w:hideMark/>
          </w:tcPr>
          <w:p w:rsidR="00EC6991" w:rsidRPr="001B6596" w:rsidRDefault="00EC6991" w:rsidP="00EC6991">
            <w:pPr>
              <w:autoSpaceDE w:val="0"/>
              <w:autoSpaceDN w:val="0"/>
              <w:bidi w:val="0"/>
              <w:adjustRightInd w:val="0"/>
              <w:spacing w:line="360" w:lineRule="auto"/>
              <w:ind w:left="-1134" w:right="-1050"/>
              <w:jc w:val="center"/>
            </w:pPr>
            <w:r w:rsidRPr="001B6596">
              <w:t>96.2</w:t>
            </w:r>
          </w:p>
        </w:tc>
        <w:tc>
          <w:tcPr>
            <w:tcW w:w="1843" w:type="dxa"/>
            <w:tcBorders>
              <w:top w:val="single" w:sz="4" w:space="0" w:color="auto"/>
              <w:left w:val="single" w:sz="4" w:space="0" w:color="auto"/>
              <w:bottom w:val="single" w:sz="24" w:space="0" w:color="auto"/>
              <w:right w:val="single" w:sz="4" w:space="0" w:color="auto"/>
            </w:tcBorders>
            <w:hideMark/>
          </w:tcPr>
          <w:p w:rsidR="00EC6991" w:rsidRPr="001B6596" w:rsidRDefault="00EC6991" w:rsidP="00EC6991">
            <w:pPr>
              <w:autoSpaceDE w:val="0"/>
              <w:autoSpaceDN w:val="0"/>
              <w:bidi w:val="0"/>
              <w:adjustRightInd w:val="0"/>
              <w:spacing w:line="360" w:lineRule="auto"/>
              <w:ind w:left="-1134" w:right="-1050"/>
              <w:jc w:val="center"/>
            </w:pPr>
            <w:r w:rsidRPr="001B6596">
              <w:t>92.3</w:t>
            </w:r>
          </w:p>
        </w:tc>
        <w:tc>
          <w:tcPr>
            <w:tcW w:w="2268" w:type="dxa"/>
            <w:tcBorders>
              <w:top w:val="single" w:sz="4" w:space="0" w:color="auto"/>
              <w:left w:val="single" w:sz="4" w:space="0" w:color="auto"/>
              <w:bottom w:val="single" w:sz="24" w:space="0" w:color="auto"/>
              <w:right w:val="single" w:sz="24" w:space="0" w:color="auto"/>
            </w:tcBorders>
            <w:hideMark/>
          </w:tcPr>
          <w:p w:rsidR="00EC6991" w:rsidRPr="001B6596" w:rsidRDefault="00EC6991" w:rsidP="00EC6991">
            <w:pPr>
              <w:autoSpaceDE w:val="0"/>
              <w:autoSpaceDN w:val="0"/>
              <w:bidi w:val="0"/>
              <w:adjustRightInd w:val="0"/>
              <w:spacing w:line="360" w:lineRule="auto"/>
              <w:ind w:left="-1134" w:right="-1050"/>
              <w:jc w:val="center"/>
            </w:pPr>
            <w:r w:rsidRPr="001B6596">
              <w:t>51</w:t>
            </w:r>
          </w:p>
        </w:tc>
      </w:tr>
    </w:tbl>
    <w:p w:rsidR="00C146D4" w:rsidRPr="00EC6991" w:rsidRDefault="00127984" w:rsidP="00EC6991">
      <w:pPr>
        <w:spacing w:after="0" w:line="480" w:lineRule="auto"/>
        <w:ind w:left="-1134" w:right="-1050"/>
        <w:jc w:val="right"/>
        <w:rPr>
          <w:rFonts w:hint="cs"/>
          <w:b/>
          <w:bCs/>
          <w:rtl/>
          <w:lang w:bidi="ar-EG"/>
        </w:rPr>
      </w:pPr>
      <w:r>
        <w:rPr>
          <w:b/>
          <w:bCs/>
        </w:rPr>
        <w:t xml:space="preserve">              </w:t>
      </w:r>
      <w:r w:rsidR="00C146D4" w:rsidRPr="00EC6991">
        <w:rPr>
          <w:b/>
          <w:bCs/>
        </w:rPr>
        <w:t xml:space="preserve">Table (2b): </w:t>
      </w:r>
      <w:r w:rsidR="00C146D4" w:rsidRPr="00B55D30">
        <w:rPr>
          <w:b/>
          <w:bCs/>
        </w:rPr>
        <w:t xml:space="preserve">Risk factors  </w:t>
      </w:r>
      <w:r w:rsidR="00C146D4" w:rsidRPr="00EC6991">
        <w:rPr>
          <w:b/>
          <w:bCs/>
        </w:rPr>
        <w:t>of</w:t>
      </w:r>
      <w:r w:rsidR="00C146D4" w:rsidRPr="00B55D30">
        <w:rPr>
          <w:b/>
          <w:bCs/>
        </w:rPr>
        <w:t xml:space="preserve"> decompensation</w:t>
      </w:r>
      <w:r w:rsidR="00C146D4" w:rsidRPr="00EC6991">
        <w:rPr>
          <w:b/>
          <w:bCs/>
        </w:rPr>
        <w:t xml:space="preserve"> after TACE</w:t>
      </w:r>
      <w:r w:rsidR="00C146D4" w:rsidRPr="00B55D30">
        <w:rPr>
          <w:b/>
          <w:bCs/>
        </w:rPr>
        <w:t xml:space="preserve"> </w:t>
      </w:r>
      <w:r>
        <w:rPr>
          <w:rFonts w:hint="cs"/>
          <w:b/>
          <w:bCs/>
          <w:rtl/>
          <w:lang w:bidi="ar-EG"/>
        </w:rPr>
        <w:t xml:space="preserve"> </w:t>
      </w:r>
    </w:p>
    <w:p w:rsidR="00B55D30" w:rsidRDefault="00B55D30" w:rsidP="00EC6991">
      <w:pPr>
        <w:ind w:left="-1134" w:right="-1050"/>
        <w:jc w:val="both"/>
        <w:rPr>
          <w:rFonts w:hint="cs"/>
          <w:rtl/>
        </w:rPr>
      </w:pPr>
    </w:p>
    <w:p w:rsidR="00EC6991" w:rsidRPr="00C146D4" w:rsidRDefault="00EC6991" w:rsidP="00EC6991">
      <w:pPr>
        <w:ind w:left="-1134" w:right="-1050"/>
        <w:jc w:val="right"/>
        <w:rPr>
          <w:lang w:bidi="ar-EG"/>
        </w:rPr>
      </w:pPr>
      <w:r w:rsidRPr="00EC6991">
        <w:rPr>
          <w:rFonts w:cs="Arial"/>
          <w:rtl/>
          <w:lang w:bidi="ar-EG"/>
        </w:rPr>
        <w:drawing>
          <wp:inline distT="0" distB="0" distL="0" distR="0">
            <wp:extent cx="3362325" cy="3238500"/>
            <wp:effectExtent l="19050" t="0" r="9525" b="0"/>
            <wp:docPr id="8" name="Picture 2"/>
            <wp:cNvGraphicFramePr/>
            <a:graphic xmlns:a="http://schemas.openxmlformats.org/drawingml/2006/main">
              <a:graphicData uri="http://schemas.openxmlformats.org/drawingml/2006/picture">
                <pic:pic xmlns:pic="http://schemas.openxmlformats.org/drawingml/2006/picture">
                  <pic:nvPicPr>
                    <pic:cNvPr id="6" name="Picture 5"/>
                    <pic:cNvPicPr/>
                  </pic:nvPicPr>
                  <pic:blipFill>
                    <a:blip r:embed="rId8"/>
                    <a:srcRect/>
                    <a:stretch>
                      <a:fillRect/>
                    </a:stretch>
                  </pic:blipFill>
                  <pic:spPr bwMode="auto">
                    <a:xfrm>
                      <a:off x="0" y="0"/>
                      <a:ext cx="3362325" cy="3238500"/>
                    </a:xfrm>
                    <a:prstGeom prst="rect">
                      <a:avLst/>
                    </a:prstGeom>
                    <a:noFill/>
                    <a:ln w="9525">
                      <a:noFill/>
                      <a:miter lim="800000"/>
                      <a:headEnd/>
                      <a:tailEnd/>
                    </a:ln>
                  </pic:spPr>
                </pic:pic>
              </a:graphicData>
            </a:graphic>
          </wp:inline>
        </w:drawing>
      </w:r>
      <w:r>
        <w:rPr>
          <w:rFonts w:hint="cs"/>
          <w:rtl/>
          <w:lang w:bidi="ar-EG"/>
        </w:rPr>
        <w:t xml:space="preserve">  </w:t>
      </w:r>
      <w:r>
        <w:rPr>
          <w:lang w:bidi="ar-EG"/>
        </w:rPr>
        <w:t xml:space="preserve"> </w:t>
      </w:r>
      <w:r w:rsidRPr="00EC6991">
        <w:rPr>
          <w:lang w:bidi="ar-EG"/>
        </w:rPr>
        <w:drawing>
          <wp:inline distT="0" distB="0" distL="0" distR="0">
            <wp:extent cx="2886075" cy="3028950"/>
            <wp:effectExtent l="19050" t="0" r="9525" b="0"/>
            <wp:docPr id="10" name="Picture 3"/>
            <wp:cNvGraphicFramePr/>
            <a:graphic xmlns:a="http://schemas.openxmlformats.org/drawingml/2006/main">
              <a:graphicData uri="http://schemas.openxmlformats.org/drawingml/2006/picture">
                <pic:pic xmlns:pic="http://schemas.openxmlformats.org/drawingml/2006/picture">
                  <pic:nvPicPr>
                    <pic:cNvPr id="4" name="Picture 3"/>
                    <pic:cNvPicPr/>
                  </pic:nvPicPr>
                  <pic:blipFill>
                    <a:blip r:embed="rId9"/>
                    <a:srcRect t="7299" r="975" b="2176"/>
                    <a:stretch>
                      <a:fillRect/>
                    </a:stretch>
                  </pic:blipFill>
                  <pic:spPr bwMode="auto">
                    <a:xfrm>
                      <a:off x="0" y="0"/>
                      <a:ext cx="2886095" cy="3028971"/>
                    </a:xfrm>
                    <a:prstGeom prst="rect">
                      <a:avLst/>
                    </a:prstGeom>
                    <a:noFill/>
                    <a:ln w="9525">
                      <a:noFill/>
                      <a:miter lim="800000"/>
                      <a:headEnd/>
                      <a:tailEnd/>
                    </a:ln>
                  </pic:spPr>
                </pic:pic>
              </a:graphicData>
            </a:graphic>
          </wp:inline>
        </w:drawing>
      </w:r>
      <w:r>
        <w:rPr>
          <w:lang w:bidi="ar-EG"/>
        </w:rPr>
        <w:t xml:space="preserve">     </w:t>
      </w:r>
    </w:p>
    <w:p w:rsidR="00EC6991" w:rsidRPr="00EC6991" w:rsidRDefault="00EC6991" w:rsidP="00EC6991">
      <w:pPr>
        <w:ind w:left="-1134" w:right="-1050"/>
        <w:jc w:val="right"/>
        <w:rPr>
          <w:b/>
          <w:bCs/>
          <w:lang w:bidi="ar-EG"/>
        </w:rPr>
      </w:pPr>
      <w:r w:rsidRPr="00EC6991">
        <w:rPr>
          <w:b/>
          <w:bCs/>
        </w:rPr>
        <w:t>Figure (3a): Six months of survival of the studied groups (82%). The mean survival time is 169.435 days.</w:t>
      </w:r>
      <w:r w:rsidRPr="00EC6991">
        <w:rPr>
          <w:b/>
          <w:bCs/>
          <w:rtl/>
        </w:rPr>
        <w:t xml:space="preserve"> </w:t>
      </w:r>
    </w:p>
    <w:p w:rsidR="00EC6991" w:rsidRPr="00EC6991" w:rsidRDefault="00EC6991" w:rsidP="00EC6991">
      <w:pPr>
        <w:ind w:left="-1134" w:right="-1050"/>
        <w:jc w:val="right"/>
        <w:rPr>
          <w:b/>
          <w:bCs/>
        </w:rPr>
      </w:pPr>
      <w:r w:rsidRPr="00EC6991">
        <w:rPr>
          <w:b/>
          <w:bCs/>
        </w:rPr>
        <w:t xml:space="preserve">Figure (3b): Survival analysis of groups according to m-Resict, (Mean time of survival was 176.2 days  in group I, and 152 days in group III). </w:t>
      </w:r>
    </w:p>
    <w:p w:rsidR="00C146D4" w:rsidRDefault="00C146D4" w:rsidP="00EC6991">
      <w:pPr>
        <w:ind w:left="-1134" w:right="-1050"/>
        <w:jc w:val="both"/>
      </w:pPr>
    </w:p>
    <w:p w:rsidR="00C146D4" w:rsidRDefault="00C146D4" w:rsidP="00EC6991">
      <w:pPr>
        <w:ind w:left="-1134" w:right="-1050"/>
        <w:jc w:val="both"/>
        <w:rPr>
          <w:rFonts w:hint="cs"/>
          <w:lang w:bidi="ar-EG"/>
        </w:rPr>
      </w:pPr>
    </w:p>
    <w:p w:rsidR="00221AD6" w:rsidRDefault="004B086A" w:rsidP="00EC6991">
      <w:pPr>
        <w:ind w:left="-1134" w:right="-1050"/>
        <w:jc w:val="both"/>
        <w:rPr>
          <w:rtl/>
        </w:rPr>
      </w:pPr>
      <w:r>
        <w:t xml:space="preserve">                               </w:t>
      </w:r>
    </w:p>
    <w:tbl>
      <w:tblPr>
        <w:bidiVisual/>
        <w:tblW w:w="9726" w:type="dxa"/>
        <w:tblCellMar>
          <w:left w:w="0" w:type="dxa"/>
          <w:right w:w="0" w:type="dxa"/>
        </w:tblCellMar>
        <w:tblLook w:val="04A0"/>
      </w:tblPr>
      <w:tblGrid>
        <w:gridCol w:w="1760"/>
        <w:gridCol w:w="3571"/>
        <w:gridCol w:w="4395"/>
      </w:tblGrid>
      <w:tr w:rsidR="00C146D4" w:rsidRPr="00C146D4" w:rsidTr="00127984">
        <w:trPr>
          <w:trHeight w:val="584"/>
        </w:trPr>
        <w:tc>
          <w:tcPr>
            <w:tcW w:w="1760" w:type="dxa"/>
            <w:tcBorders>
              <w:top w:val="single" w:sz="8" w:space="0" w:color="8B6A94"/>
              <w:left w:val="single" w:sz="8" w:space="0" w:color="8B6A94"/>
              <w:bottom w:val="single" w:sz="8" w:space="0" w:color="8B6A94"/>
              <w:right w:val="single" w:sz="8" w:space="0" w:color="8B6A94"/>
            </w:tcBorders>
            <w:shd w:val="clear" w:color="auto" w:fill="EEEBEF"/>
            <w:tcMar>
              <w:top w:w="72" w:type="dxa"/>
              <w:left w:w="144" w:type="dxa"/>
              <w:bottom w:w="72" w:type="dxa"/>
              <w:right w:w="144" w:type="dxa"/>
            </w:tcMar>
            <w:hideMark/>
          </w:tcPr>
          <w:p w:rsidR="00C146D4" w:rsidRPr="00C146D4" w:rsidRDefault="00C146D4" w:rsidP="00EC6991">
            <w:pPr>
              <w:spacing w:after="0" w:line="240" w:lineRule="auto"/>
              <w:ind w:left="-1134" w:right="-1050"/>
              <w:jc w:val="center"/>
            </w:pPr>
            <w:r w:rsidRPr="00C146D4">
              <w:lastRenderedPageBreak/>
              <w:t>P Value</w:t>
            </w:r>
            <w:r w:rsidRPr="00C146D4">
              <w:rPr>
                <w:rtl/>
              </w:rPr>
              <w:t xml:space="preserve"> </w:t>
            </w:r>
          </w:p>
        </w:tc>
        <w:tc>
          <w:tcPr>
            <w:tcW w:w="3571" w:type="dxa"/>
            <w:tcBorders>
              <w:top w:val="single" w:sz="8" w:space="0" w:color="8B6A94"/>
              <w:left w:val="single" w:sz="8" w:space="0" w:color="8B6A94"/>
              <w:bottom w:val="single" w:sz="8" w:space="0" w:color="8B6A94"/>
              <w:right w:val="single" w:sz="8" w:space="0" w:color="8B6A94"/>
            </w:tcBorders>
            <w:shd w:val="clear" w:color="auto" w:fill="EEEBEF"/>
            <w:tcMar>
              <w:top w:w="72" w:type="dxa"/>
              <w:left w:w="144" w:type="dxa"/>
              <w:bottom w:w="72" w:type="dxa"/>
              <w:right w:w="144" w:type="dxa"/>
            </w:tcMar>
            <w:hideMark/>
          </w:tcPr>
          <w:p w:rsidR="00C146D4" w:rsidRPr="00C146D4" w:rsidRDefault="00C146D4" w:rsidP="00EC6991">
            <w:pPr>
              <w:spacing w:after="0" w:line="240" w:lineRule="auto"/>
              <w:ind w:left="-1134" w:right="-1050"/>
              <w:jc w:val="center"/>
            </w:pPr>
            <w:r w:rsidRPr="00C146D4">
              <w:t>Cox regression Hazard ratio</w:t>
            </w:r>
            <w:r w:rsidRPr="00C146D4">
              <w:rPr>
                <w:rtl/>
              </w:rPr>
              <w:t xml:space="preserve"> </w:t>
            </w:r>
          </w:p>
        </w:tc>
        <w:tc>
          <w:tcPr>
            <w:tcW w:w="4395" w:type="dxa"/>
            <w:tcBorders>
              <w:top w:val="single" w:sz="8" w:space="0" w:color="8B6A94"/>
              <w:left w:val="single" w:sz="8" w:space="0" w:color="8B6A94"/>
              <w:bottom w:val="single" w:sz="8" w:space="0" w:color="8B6A94"/>
              <w:right w:val="single" w:sz="8" w:space="0" w:color="8B6A94"/>
            </w:tcBorders>
            <w:shd w:val="clear" w:color="auto" w:fill="EEEBEF"/>
            <w:tcMar>
              <w:top w:w="72" w:type="dxa"/>
              <w:left w:w="144" w:type="dxa"/>
              <w:bottom w:w="72" w:type="dxa"/>
              <w:right w:w="144" w:type="dxa"/>
            </w:tcMar>
            <w:hideMark/>
          </w:tcPr>
          <w:p w:rsidR="00C146D4" w:rsidRPr="00C146D4" w:rsidRDefault="00C146D4" w:rsidP="00EC6991">
            <w:pPr>
              <w:spacing w:after="0" w:line="240" w:lineRule="auto"/>
              <w:ind w:left="-1134" w:right="-1050"/>
              <w:jc w:val="center"/>
            </w:pPr>
            <w:r w:rsidRPr="00C146D4">
              <w:t>Risk factors of mortality after TACE</w:t>
            </w:r>
            <w:r w:rsidRPr="00C146D4">
              <w:rPr>
                <w:rtl/>
              </w:rPr>
              <w:t xml:space="preserve"> </w:t>
            </w:r>
          </w:p>
        </w:tc>
      </w:tr>
      <w:tr w:rsidR="00C146D4" w:rsidRPr="00C146D4" w:rsidTr="00127984">
        <w:trPr>
          <w:trHeight w:val="584"/>
        </w:trPr>
        <w:tc>
          <w:tcPr>
            <w:tcW w:w="1760" w:type="dxa"/>
            <w:tcBorders>
              <w:top w:val="single" w:sz="8" w:space="0" w:color="8B6A94"/>
              <w:left w:val="single" w:sz="8" w:space="0" w:color="8B6A94"/>
              <w:bottom w:val="single" w:sz="8" w:space="0" w:color="8B6A94"/>
              <w:right w:val="single" w:sz="8" w:space="0" w:color="8B6A94"/>
            </w:tcBorders>
            <w:shd w:val="clear" w:color="auto" w:fill="DAD4DC"/>
            <w:tcMar>
              <w:top w:w="15" w:type="dxa"/>
              <w:left w:w="108" w:type="dxa"/>
              <w:bottom w:w="0" w:type="dxa"/>
              <w:right w:w="108" w:type="dxa"/>
            </w:tcMar>
            <w:hideMark/>
          </w:tcPr>
          <w:p w:rsidR="00C146D4" w:rsidRPr="00C146D4" w:rsidRDefault="00C146D4" w:rsidP="00EC6991">
            <w:pPr>
              <w:bidi w:val="0"/>
              <w:spacing w:after="0" w:line="384" w:lineRule="auto"/>
              <w:ind w:left="-1134" w:right="-1050"/>
              <w:jc w:val="center"/>
            </w:pPr>
            <w:r w:rsidRPr="00C146D4">
              <w:t xml:space="preserve">0.003* </w:t>
            </w:r>
          </w:p>
        </w:tc>
        <w:tc>
          <w:tcPr>
            <w:tcW w:w="3571" w:type="dxa"/>
            <w:tcBorders>
              <w:top w:val="single" w:sz="8" w:space="0" w:color="8B6A94"/>
              <w:left w:val="single" w:sz="8" w:space="0" w:color="8B6A94"/>
              <w:bottom w:val="single" w:sz="8" w:space="0" w:color="8B6A94"/>
              <w:right w:val="single" w:sz="8" w:space="0" w:color="8B6A94"/>
            </w:tcBorders>
            <w:shd w:val="clear" w:color="auto" w:fill="DAD4DC"/>
            <w:tcMar>
              <w:top w:w="15" w:type="dxa"/>
              <w:left w:w="108" w:type="dxa"/>
              <w:bottom w:w="0" w:type="dxa"/>
              <w:right w:w="108" w:type="dxa"/>
            </w:tcMar>
            <w:hideMark/>
          </w:tcPr>
          <w:p w:rsidR="00C146D4" w:rsidRPr="00C146D4" w:rsidRDefault="00C146D4" w:rsidP="00EC6991">
            <w:pPr>
              <w:bidi w:val="0"/>
              <w:spacing w:after="0" w:line="384" w:lineRule="auto"/>
              <w:ind w:left="-1134" w:right="-1050"/>
              <w:jc w:val="center"/>
            </w:pPr>
            <w:r w:rsidRPr="00C146D4">
              <w:t xml:space="preserve">8.026 </w:t>
            </w:r>
          </w:p>
        </w:tc>
        <w:tc>
          <w:tcPr>
            <w:tcW w:w="4395" w:type="dxa"/>
            <w:tcBorders>
              <w:top w:val="single" w:sz="8" w:space="0" w:color="8B6A94"/>
              <w:left w:val="single" w:sz="8" w:space="0" w:color="8B6A94"/>
              <w:bottom w:val="single" w:sz="8" w:space="0" w:color="8B6A94"/>
              <w:right w:val="single" w:sz="8" w:space="0" w:color="8B6A94"/>
            </w:tcBorders>
            <w:shd w:val="clear" w:color="auto" w:fill="DAD4DC"/>
            <w:tcMar>
              <w:top w:w="15" w:type="dxa"/>
              <w:left w:w="108" w:type="dxa"/>
              <w:bottom w:w="0" w:type="dxa"/>
              <w:right w:w="108" w:type="dxa"/>
            </w:tcMar>
            <w:hideMark/>
          </w:tcPr>
          <w:p w:rsidR="00C146D4" w:rsidRPr="00C146D4" w:rsidRDefault="00C146D4" w:rsidP="00127984">
            <w:pPr>
              <w:bidi w:val="0"/>
              <w:spacing w:after="0" w:line="384" w:lineRule="auto"/>
              <w:ind w:left="-1134" w:right="-1050"/>
              <w:jc w:val="center"/>
            </w:pPr>
            <w:r w:rsidRPr="00C146D4">
              <w:t>Bilirubin (mg/dl)</w:t>
            </w:r>
          </w:p>
        </w:tc>
      </w:tr>
      <w:tr w:rsidR="00C146D4" w:rsidRPr="00C146D4" w:rsidTr="00127984">
        <w:trPr>
          <w:trHeight w:val="584"/>
        </w:trPr>
        <w:tc>
          <w:tcPr>
            <w:tcW w:w="1760" w:type="dxa"/>
            <w:tcBorders>
              <w:top w:val="single" w:sz="8" w:space="0" w:color="8B6A94"/>
              <w:left w:val="single" w:sz="8" w:space="0" w:color="8B6A94"/>
              <w:bottom w:val="single" w:sz="8" w:space="0" w:color="8B6A94"/>
              <w:right w:val="single" w:sz="8" w:space="0" w:color="8B6A94"/>
            </w:tcBorders>
            <w:shd w:val="clear" w:color="auto" w:fill="EEEBEF"/>
            <w:tcMar>
              <w:top w:w="15" w:type="dxa"/>
              <w:left w:w="108" w:type="dxa"/>
              <w:bottom w:w="0" w:type="dxa"/>
              <w:right w:w="108" w:type="dxa"/>
            </w:tcMar>
            <w:hideMark/>
          </w:tcPr>
          <w:p w:rsidR="00C146D4" w:rsidRPr="00C146D4" w:rsidRDefault="00C146D4" w:rsidP="00EC6991">
            <w:pPr>
              <w:bidi w:val="0"/>
              <w:spacing w:after="0" w:line="384" w:lineRule="auto"/>
              <w:ind w:left="-1134" w:right="-1050"/>
              <w:jc w:val="center"/>
            </w:pPr>
            <w:r w:rsidRPr="00C146D4">
              <w:t xml:space="preserve">0.046* </w:t>
            </w:r>
          </w:p>
        </w:tc>
        <w:tc>
          <w:tcPr>
            <w:tcW w:w="3571" w:type="dxa"/>
            <w:tcBorders>
              <w:top w:val="single" w:sz="8" w:space="0" w:color="8B6A94"/>
              <w:left w:val="single" w:sz="8" w:space="0" w:color="8B6A94"/>
              <w:bottom w:val="single" w:sz="8" w:space="0" w:color="8B6A94"/>
              <w:right w:val="single" w:sz="8" w:space="0" w:color="8B6A94"/>
            </w:tcBorders>
            <w:shd w:val="clear" w:color="auto" w:fill="EEEBEF"/>
            <w:tcMar>
              <w:top w:w="15" w:type="dxa"/>
              <w:left w:w="108" w:type="dxa"/>
              <w:bottom w:w="0" w:type="dxa"/>
              <w:right w:w="108" w:type="dxa"/>
            </w:tcMar>
            <w:hideMark/>
          </w:tcPr>
          <w:p w:rsidR="00C146D4" w:rsidRPr="00C146D4" w:rsidRDefault="00C146D4" w:rsidP="00EC6991">
            <w:pPr>
              <w:bidi w:val="0"/>
              <w:spacing w:after="0" w:line="384" w:lineRule="auto"/>
              <w:ind w:left="-1134" w:right="-1050"/>
              <w:jc w:val="center"/>
            </w:pPr>
            <w:r w:rsidRPr="00C146D4">
              <w:t xml:space="preserve">16.578 </w:t>
            </w:r>
          </w:p>
        </w:tc>
        <w:tc>
          <w:tcPr>
            <w:tcW w:w="4395" w:type="dxa"/>
            <w:tcBorders>
              <w:top w:val="single" w:sz="8" w:space="0" w:color="8B6A94"/>
              <w:left w:val="single" w:sz="8" w:space="0" w:color="8B6A94"/>
              <w:bottom w:val="single" w:sz="8" w:space="0" w:color="8B6A94"/>
              <w:right w:val="single" w:sz="8" w:space="0" w:color="8B6A94"/>
            </w:tcBorders>
            <w:shd w:val="clear" w:color="auto" w:fill="EEEBEF"/>
            <w:tcMar>
              <w:top w:w="15" w:type="dxa"/>
              <w:left w:w="108" w:type="dxa"/>
              <w:bottom w:w="0" w:type="dxa"/>
              <w:right w:w="108" w:type="dxa"/>
            </w:tcMar>
            <w:hideMark/>
          </w:tcPr>
          <w:p w:rsidR="00C146D4" w:rsidRPr="00C146D4" w:rsidRDefault="00C146D4" w:rsidP="00127984">
            <w:pPr>
              <w:bidi w:val="0"/>
              <w:spacing w:after="0" w:line="384" w:lineRule="auto"/>
              <w:ind w:left="-1134" w:right="-1050"/>
              <w:jc w:val="center"/>
            </w:pPr>
            <w:r w:rsidRPr="00C146D4">
              <w:t>INR</w:t>
            </w:r>
          </w:p>
        </w:tc>
      </w:tr>
      <w:tr w:rsidR="00C146D4" w:rsidRPr="00C146D4" w:rsidTr="00127984">
        <w:trPr>
          <w:trHeight w:val="584"/>
        </w:trPr>
        <w:tc>
          <w:tcPr>
            <w:tcW w:w="1760" w:type="dxa"/>
            <w:tcBorders>
              <w:top w:val="single" w:sz="8" w:space="0" w:color="8B6A94"/>
              <w:left w:val="single" w:sz="8" w:space="0" w:color="8B6A94"/>
              <w:bottom w:val="single" w:sz="8" w:space="0" w:color="8B6A94"/>
              <w:right w:val="single" w:sz="8" w:space="0" w:color="8B6A94"/>
            </w:tcBorders>
            <w:shd w:val="clear" w:color="auto" w:fill="DAD4DC"/>
            <w:tcMar>
              <w:top w:w="15" w:type="dxa"/>
              <w:left w:w="108" w:type="dxa"/>
              <w:bottom w:w="0" w:type="dxa"/>
              <w:right w:w="108" w:type="dxa"/>
            </w:tcMar>
            <w:hideMark/>
          </w:tcPr>
          <w:p w:rsidR="00C146D4" w:rsidRPr="00C146D4" w:rsidRDefault="00C146D4" w:rsidP="00EC6991">
            <w:pPr>
              <w:bidi w:val="0"/>
              <w:spacing w:after="0" w:line="384" w:lineRule="auto"/>
              <w:ind w:left="-1134" w:right="-1050"/>
              <w:jc w:val="center"/>
            </w:pPr>
            <w:r w:rsidRPr="00C146D4">
              <w:t xml:space="preserve">0.003* </w:t>
            </w:r>
          </w:p>
        </w:tc>
        <w:tc>
          <w:tcPr>
            <w:tcW w:w="3571" w:type="dxa"/>
            <w:tcBorders>
              <w:top w:val="single" w:sz="8" w:space="0" w:color="8B6A94"/>
              <w:left w:val="single" w:sz="8" w:space="0" w:color="8B6A94"/>
              <w:bottom w:val="single" w:sz="8" w:space="0" w:color="8B6A94"/>
              <w:right w:val="single" w:sz="8" w:space="0" w:color="8B6A94"/>
            </w:tcBorders>
            <w:shd w:val="clear" w:color="auto" w:fill="DAD4DC"/>
            <w:tcMar>
              <w:top w:w="15" w:type="dxa"/>
              <w:left w:w="108" w:type="dxa"/>
              <w:bottom w:w="0" w:type="dxa"/>
              <w:right w:w="108" w:type="dxa"/>
            </w:tcMar>
            <w:hideMark/>
          </w:tcPr>
          <w:p w:rsidR="00C146D4" w:rsidRPr="00C146D4" w:rsidRDefault="00C146D4" w:rsidP="00EC6991">
            <w:pPr>
              <w:bidi w:val="0"/>
              <w:spacing w:after="0" w:line="384" w:lineRule="auto"/>
              <w:ind w:left="-1134" w:right="-1050"/>
              <w:jc w:val="center"/>
            </w:pPr>
            <w:r w:rsidRPr="00C146D4">
              <w:t xml:space="preserve">1.513 </w:t>
            </w:r>
          </w:p>
        </w:tc>
        <w:tc>
          <w:tcPr>
            <w:tcW w:w="4395" w:type="dxa"/>
            <w:tcBorders>
              <w:top w:val="single" w:sz="8" w:space="0" w:color="8B6A94"/>
              <w:left w:val="single" w:sz="8" w:space="0" w:color="8B6A94"/>
              <w:bottom w:val="single" w:sz="8" w:space="0" w:color="8B6A94"/>
              <w:right w:val="single" w:sz="8" w:space="0" w:color="8B6A94"/>
            </w:tcBorders>
            <w:shd w:val="clear" w:color="auto" w:fill="DAD4DC"/>
            <w:tcMar>
              <w:top w:w="15" w:type="dxa"/>
              <w:left w:w="108" w:type="dxa"/>
              <w:bottom w:w="0" w:type="dxa"/>
              <w:right w:w="108" w:type="dxa"/>
            </w:tcMar>
            <w:hideMark/>
          </w:tcPr>
          <w:p w:rsidR="00C146D4" w:rsidRPr="00C146D4" w:rsidRDefault="00C146D4" w:rsidP="00127984">
            <w:pPr>
              <w:bidi w:val="0"/>
              <w:spacing w:after="0" w:line="384" w:lineRule="auto"/>
              <w:ind w:left="-1134" w:right="-1050"/>
              <w:jc w:val="center"/>
            </w:pPr>
            <w:r w:rsidRPr="00C146D4">
              <w:t>MELD score</w:t>
            </w:r>
          </w:p>
        </w:tc>
      </w:tr>
      <w:tr w:rsidR="00C146D4" w:rsidRPr="00C146D4" w:rsidTr="00127984">
        <w:trPr>
          <w:trHeight w:val="612"/>
        </w:trPr>
        <w:tc>
          <w:tcPr>
            <w:tcW w:w="1760" w:type="dxa"/>
            <w:tcBorders>
              <w:top w:val="single" w:sz="8" w:space="0" w:color="8B6A94"/>
              <w:left w:val="single" w:sz="8" w:space="0" w:color="8B6A94"/>
              <w:bottom w:val="single" w:sz="8" w:space="0" w:color="8B6A94"/>
              <w:right w:val="single" w:sz="8" w:space="0" w:color="8B6A94"/>
            </w:tcBorders>
            <w:shd w:val="clear" w:color="auto" w:fill="EEEBEF"/>
            <w:tcMar>
              <w:top w:w="15" w:type="dxa"/>
              <w:left w:w="108" w:type="dxa"/>
              <w:bottom w:w="0" w:type="dxa"/>
              <w:right w:w="108" w:type="dxa"/>
            </w:tcMar>
            <w:hideMark/>
          </w:tcPr>
          <w:p w:rsidR="00C146D4" w:rsidRPr="00C146D4" w:rsidRDefault="00C146D4" w:rsidP="00EC6991">
            <w:pPr>
              <w:bidi w:val="0"/>
              <w:spacing w:after="0" w:line="384" w:lineRule="auto"/>
              <w:ind w:left="-1134" w:right="-1050"/>
              <w:jc w:val="center"/>
            </w:pPr>
            <w:r w:rsidRPr="00C146D4">
              <w:t xml:space="preserve">0.023* </w:t>
            </w:r>
          </w:p>
        </w:tc>
        <w:tc>
          <w:tcPr>
            <w:tcW w:w="3571" w:type="dxa"/>
            <w:tcBorders>
              <w:top w:val="single" w:sz="8" w:space="0" w:color="8B6A94"/>
              <w:left w:val="single" w:sz="8" w:space="0" w:color="8B6A94"/>
              <w:bottom w:val="single" w:sz="8" w:space="0" w:color="8B6A94"/>
              <w:right w:val="single" w:sz="8" w:space="0" w:color="8B6A94"/>
            </w:tcBorders>
            <w:shd w:val="clear" w:color="auto" w:fill="EEEBEF"/>
            <w:tcMar>
              <w:top w:w="15" w:type="dxa"/>
              <w:left w:w="108" w:type="dxa"/>
              <w:bottom w:w="0" w:type="dxa"/>
              <w:right w:w="108" w:type="dxa"/>
            </w:tcMar>
            <w:hideMark/>
          </w:tcPr>
          <w:p w:rsidR="00C146D4" w:rsidRPr="00C146D4" w:rsidRDefault="00C146D4" w:rsidP="00EC6991">
            <w:pPr>
              <w:bidi w:val="0"/>
              <w:spacing w:after="0" w:line="384" w:lineRule="auto"/>
              <w:ind w:left="-1134" w:right="-1050"/>
              <w:jc w:val="center"/>
            </w:pPr>
            <w:r w:rsidRPr="00C146D4">
              <w:t xml:space="preserve">1 </w:t>
            </w:r>
          </w:p>
        </w:tc>
        <w:tc>
          <w:tcPr>
            <w:tcW w:w="4395" w:type="dxa"/>
            <w:tcBorders>
              <w:top w:val="single" w:sz="8" w:space="0" w:color="8B6A94"/>
              <w:left w:val="single" w:sz="8" w:space="0" w:color="8B6A94"/>
              <w:bottom w:val="single" w:sz="8" w:space="0" w:color="8B6A94"/>
              <w:right w:val="single" w:sz="8" w:space="0" w:color="8B6A94"/>
            </w:tcBorders>
            <w:shd w:val="clear" w:color="auto" w:fill="EEEBEF"/>
            <w:tcMar>
              <w:top w:w="15" w:type="dxa"/>
              <w:left w:w="108" w:type="dxa"/>
              <w:bottom w:w="0" w:type="dxa"/>
              <w:right w:w="108" w:type="dxa"/>
            </w:tcMar>
            <w:hideMark/>
          </w:tcPr>
          <w:p w:rsidR="00C146D4" w:rsidRPr="00C146D4" w:rsidRDefault="00C146D4" w:rsidP="00127984">
            <w:pPr>
              <w:bidi w:val="0"/>
              <w:spacing w:after="0" w:line="384" w:lineRule="auto"/>
              <w:ind w:left="-1134" w:right="-1050"/>
              <w:jc w:val="center"/>
            </w:pPr>
            <w:r w:rsidRPr="00C146D4">
              <w:t>Alphafetoprotein  (ng/ml)</w:t>
            </w:r>
          </w:p>
        </w:tc>
      </w:tr>
      <w:tr w:rsidR="00C146D4" w:rsidRPr="00C146D4" w:rsidTr="00127984">
        <w:trPr>
          <w:trHeight w:val="584"/>
        </w:trPr>
        <w:tc>
          <w:tcPr>
            <w:tcW w:w="1760" w:type="dxa"/>
            <w:tcBorders>
              <w:top w:val="single" w:sz="8" w:space="0" w:color="8B6A94"/>
              <w:left w:val="single" w:sz="8" w:space="0" w:color="8B6A94"/>
              <w:bottom w:val="single" w:sz="8" w:space="0" w:color="8B6A94"/>
              <w:right w:val="single" w:sz="8" w:space="0" w:color="8B6A94"/>
            </w:tcBorders>
            <w:shd w:val="clear" w:color="auto" w:fill="DAD4DC"/>
            <w:tcMar>
              <w:top w:w="15" w:type="dxa"/>
              <w:left w:w="108" w:type="dxa"/>
              <w:bottom w:w="0" w:type="dxa"/>
              <w:right w:w="108" w:type="dxa"/>
            </w:tcMar>
            <w:hideMark/>
          </w:tcPr>
          <w:p w:rsidR="00C146D4" w:rsidRPr="00C146D4" w:rsidRDefault="00C146D4" w:rsidP="00EC6991">
            <w:pPr>
              <w:bidi w:val="0"/>
              <w:spacing w:after="0" w:line="384" w:lineRule="auto"/>
              <w:ind w:left="-1134" w:right="-1050"/>
              <w:jc w:val="center"/>
            </w:pPr>
            <w:r w:rsidRPr="00C146D4">
              <w:t xml:space="preserve">0.047* </w:t>
            </w:r>
          </w:p>
        </w:tc>
        <w:tc>
          <w:tcPr>
            <w:tcW w:w="3571" w:type="dxa"/>
            <w:tcBorders>
              <w:top w:val="single" w:sz="8" w:space="0" w:color="8B6A94"/>
              <w:left w:val="single" w:sz="8" w:space="0" w:color="8B6A94"/>
              <w:bottom w:val="single" w:sz="8" w:space="0" w:color="8B6A94"/>
              <w:right w:val="single" w:sz="8" w:space="0" w:color="8B6A94"/>
            </w:tcBorders>
            <w:shd w:val="clear" w:color="auto" w:fill="DAD4DC"/>
            <w:tcMar>
              <w:top w:w="15" w:type="dxa"/>
              <w:left w:w="108" w:type="dxa"/>
              <w:bottom w:w="0" w:type="dxa"/>
              <w:right w:w="108" w:type="dxa"/>
            </w:tcMar>
            <w:hideMark/>
          </w:tcPr>
          <w:p w:rsidR="00C146D4" w:rsidRPr="00C146D4" w:rsidRDefault="00C146D4" w:rsidP="00EC6991">
            <w:pPr>
              <w:bidi w:val="0"/>
              <w:spacing w:after="0" w:line="384" w:lineRule="auto"/>
              <w:ind w:left="-1134" w:right="-1050"/>
              <w:jc w:val="center"/>
            </w:pPr>
            <w:r w:rsidRPr="00C146D4">
              <w:t xml:space="preserve">8.045 </w:t>
            </w:r>
          </w:p>
        </w:tc>
        <w:tc>
          <w:tcPr>
            <w:tcW w:w="4395" w:type="dxa"/>
            <w:tcBorders>
              <w:top w:val="single" w:sz="8" w:space="0" w:color="8B6A94"/>
              <w:left w:val="single" w:sz="8" w:space="0" w:color="8B6A94"/>
              <w:bottom w:val="single" w:sz="8" w:space="0" w:color="8B6A94"/>
              <w:right w:val="single" w:sz="8" w:space="0" w:color="8B6A94"/>
            </w:tcBorders>
            <w:shd w:val="clear" w:color="auto" w:fill="DAD4DC"/>
            <w:tcMar>
              <w:top w:w="15" w:type="dxa"/>
              <w:left w:w="108" w:type="dxa"/>
              <w:bottom w:w="0" w:type="dxa"/>
              <w:right w:w="108" w:type="dxa"/>
            </w:tcMar>
            <w:hideMark/>
          </w:tcPr>
          <w:p w:rsidR="00C146D4" w:rsidRPr="00C146D4" w:rsidRDefault="00C146D4" w:rsidP="00127984">
            <w:pPr>
              <w:bidi w:val="0"/>
              <w:spacing w:after="0" w:line="384" w:lineRule="auto"/>
              <w:ind w:left="-1134" w:right="-1050"/>
              <w:jc w:val="center"/>
            </w:pPr>
            <w:r w:rsidRPr="00C146D4">
              <w:t>Platelets &lt; 150 x 103</w:t>
            </w:r>
          </w:p>
        </w:tc>
      </w:tr>
      <w:tr w:rsidR="00C146D4" w:rsidRPr="00C146D4" w:rsidTr="00127984">
        <w:trPr>
          <w:trHeight w:val="584"/>
        </w:trPr>
        <w:tc>
          <w:tcPr>
            <w:tcW w:w="1760" w:type="dxa"/>
            <w:tcBorders>
              <w:top w:val="single" w:sz="8" w:space="0" w:color="8B6A94"/>
              <w:left w:val="single" w:sz="8" w:space="0" w:color="8B6A94"/>
              <w:bottom w:val="single" w:sz="8" w:space="0" w:color="8B6A94"/>
              <w:right w:val="single" w:sz="8" w:space="0" w:color="8B6A94"/>
            </w:tcBorders>
            <w:shd w:val="clear" w:color="auto" w:fill="EEEBEF"/>
            <w:tcMar>
              <w:top w:w="15" w:type="dxa"/>
              <w:left w:w="108" w:type="dxa"/>
              <w:bottom w:w="0" w:type="dxa"/>
              <w:right w:w="108" w:type="dxa"/>
            </w:tcMar>
            <w:hideMark/>
          </w:tcPr>
          <w:p w:rsidR="00C146D4" w:rsidRPr="00C146D4" w:rsidRDefault="00C146D4" w:rsidP="00EC6991">
            <w:pPr>
              <w:tabs>
                <w:tab w:val="left" w:pos="1844"/>
              </w:tabs>
              <w:bidi w:val="0"/>
              <w:spacing w:after="0" w:line="384" w:lineRule="auto"/>
              <w:ind w:left="-1134" w:right="-1050"/>
              <w:jc w:val="center"/>
            </w:pPr>
            <w:r w:rsidRPr="00C146D4">
              <w:t xml:space="preserve">0.005* </w:t>
            </w:r>
          </w:p>
        </w:tc>
        <w:tc>
          <w:tcPr>
            <w:tcW w:w="3571" w:type="dxa"/>
            <w:tcBorders>
              <w:top w:val="single" w:sz="8" w:space="0" w:color="8B6A94"/>
              <w:left w:val="single" w:sz="8" w:space="0" w:color="8B6A94"/>
              <w:bottom w:val="single" w:sz="8" w:space="0" w:color="8B6A94"/>
              <w:right w:val="single" w:sz="8" w:space="0" w:color="8B6A94"/>
            </w:tcBorders>
            <w:shd w:val="clear" w:color="auto" w:fill="EEEBEF"/>
            <w:tcMar>
              <w:top w:w="15" w:type="dxa"/>
              <w:left w:w="108" w:type="dxa"/>
              <w:bottom w:w="0" w:type="dxa"/>
              <w:right w:w="108" w:type="dxa"/>
            </w:tcMar>
            <w:hideMark/>
          </w:tcPr>
          <w:p w:rsidR="00C146D4" w:rsidRPr="00C146D4" w:rsidRDefault="00C146D4" w:rsidP="00EC6991">
            <w:pPr>
              <w:bidi w:val="0"/>
              <w:spacing w:after="0" w:line="384" w:lineRule="auto"/>
              <w:ind w:left="-1134" w:right="-1050"/>
              <w:jc w:val="center"/>
            </w:pPr>
            <w:r w:rsidRPr="00C146D4">
              <w:t xml:space="preserve">3.549 </w:t>
            </w:r>
          </w:p>
        </w:tc>
        <w:tc>
          <w:tcPr>
            <w:tcW w:w="4395" w:type="dxa"/>
            <w:tcBorders>
              <w:top w:val="single" w:sz="8" w:space="0" w:color="8B6A94"/>
              <w:left w:val="single" w:sz="8" w:space="0" w:color="8B6A94"/>
              <w:bottom w:val="single" w:sz="8" w:space="0" w:color="8B6A94"/>
              <w:right w:val="single" w:sz="8" w:space="0" w:color="8B6A94"/>
            </w:tcBorders>
            <w:shd w:val="clear" w:color="auto" w:fill="EEEBEF"/>
            <w:tcMar>
              <w:top w:w="15" w:type="dxa"/>
              <w:left w:w="108" w:type="dxa"/>
              <w:bottom w:w="0" w:type="dxa"/>
              <w:right w:w="108" w:type="dxa"/>
            </w:tcMar>
            <w:hideMark/>
          </w:tcPr>
          <w:p w:rsidR="00C146D4" w:rsidRPr="00C146D4" w:rsidRDefault="00C146D4" w:rsidP="00127984">
            <w:pPr>
              <w:tabs>
                <w:tab w:val="left" w:pos="1844"/>
              </w:tabs>
              <w:bidi w:val="0"/>
              <w:spacing w:after="0" w:line="360" w:lineRule="auto"/>
              <w:ind w:left="-1134" w:right="-1050"/>
              <w:jc w:val="center"/>
            </w:pPr>
            <w:r w:rsidRPr="00C146D4">
              <w:t>m-RECIST</w:t>
            </w:r>
          </w:p>
          <w:p w:rsidR="00C146D4" w:rsidRPr="00C146D4" w:rsidRDefault="00C146D4" w:rsidP="00127984">
            <w:pPr>
              <w:tabs>
                <w:tab w:val="left" w:pos="1844"/>
              </w:tabs>
              <w:bidi w:val="0"/>
              <w:spacing w:after="0" w:line="360" w:lineRule="auto"/>
              <w:ind w:left="-1134" w:right="-1050"/>
              <w:jc w:val="center"/>
            </w:pPr>
            <w:r w:rsidRPr="00C146D4">
              <w:t>Progressive disease/ non progressive disease</w:t>
            </w:r>
          </w:p>
        </w:tc>
      </w:tr>
    </w:tbl>
    <w:p w:rsidR="00C146D4" w:rsidRPr="00EC6991" w:rsidRDefault="00C146D4" w:rsidP="00EC6991">
      <w:pPr>
        <w:spacing w:after="0" w:line="240" w:lineRule="auto"/>
        <w:ind w:left="-1134" w:right="-1050"/>
        <w:jc w:val="right"/>
        <w:rPr>
          <w:b/>
          <w:bCs/>
        </w:rPr>
      </w:pPr>
      <w:r w:rsidRPr="00EC6991">
        <w:rPr>
          <w:b/>
          <w:bCs/>
        </w:rPr>
        <w:t xml:space="preserve">Table (3): </w:t>
      </w:r>
      <w:r w:rsidRPr="00C146D4">
        <w:rPr>
          <w:b/>
          <w:bCs/>
        </w:rPr>
        <w:t>Risk factors of mortality after TACE</w:t>
      </w:r>
      <w:r w:rsidRPr="00C146D4">
        <w:rPr>
          <w:b/>
          <w:bCs/>
          <w:rtl/>
        </w:rPr>
        <w:t xml:space="preserve"> </w:t>
      </w:r>
    </w:p>
    <w:p w:rsidR="00C146D4" w:rsidRPr="001B6596" w:rsidRDefault="00C146D4" w:rsidP="00EC6991">
      <w:pPr>
        <w:ind w:left="-1134" w:right="-1050"/>
        <w:jc w:val="both"/>
        <w:rPr>
          <w:b/>
          <w:bCs/>
        </w:rPr>
      </w:pPr>
    </w:p>
    <w:p w:rsidR="00C146D4" w:rsidRPr="001B6596" w:rsidRDefault="00C146D4" w:rsidP="00EC6991">
      <w:pPr>
        <w:ind w:left="-1134" w:right="-1050"/>
        <w:jc w:val="both"/>
        <w:rPr>
          <w:b/>
          <w:bCs/>
        </w:rPr>
      </w:pPr>
    </w:p>
    <w:p w:rsidR="00221AD6" w:rsidRDefault="00B55D30" w:rsidP="00127984">
      <w:pPr>
        <w:ind w:left="-1134" w:right="-1050"/>
        <w:jc w:val="right"/>
        <w:rPr>
          <w:rFonts w:hint="cs"/>
          <w:rtl/>
        </w:rPr>
      </w:pPr>
      <w:r w:rsidRPr="001B6596">
        <w:rPr>
          <w:b/>
          <w:bCs/>
        </w:rPr>
        <w:t xml:space="preserve">Conclusion:                                                                                                                                        </w:t>
      </w:r>
    </w:p>
    <w:p w:rsidR="00A9130E" w:rsidRPr="00A9130E" w:rsidRDefault="00A9130E" w:rsidP="00EC6991">
      <w:pPr>
        <w:ind w:left="-1134" w:right="-1050"/>
        <w:jc w:val="both"/>
        <w:rPr>
          <w:rtl/>
        </w:rPr>
      </w:pPr>
      <w:r>
        <w:t>Radiological response can not be considered alone to determine the outcome after transaterial chemoembolization (TACE). Child-Pugh score, tumor criteria , liver functions, and platelet count also affect the prognosis after TACE.</w:t>
      </w:r>
      <w:r w:rsidR="00B55D30">
        <w:t xml:space="preserve">                                                                                                                                                                   </w:t>
      </w:r>
    </w:p>
    <w:p w:rsidR="000501E7" w:rsidRDefault="00502BEF" w:rsidP="00EC6991">
      <w:pPr>
        <w:ind w:left="-1134" w:right="-1050"/>
        <w:jc w:val="both"/>
        <w:rPr>
          <w:rtl/>
        </w:rPr>
      </w:pPr>
      <w:r>
        <w:t xml:space="preserve"> </w:t>
      </w:r>
    </w:p>
    <w:sectPr w:rsidR="000501E7" w:rsidSect="00E45FFE">
      <w:pgSz w:w="11906" w:h="16838"/>
      <w:pgMar w:top="1440" w:right="1800" w:bottom="1440" w:left="180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271DE" w:rsidRDefault="005271DE" w:rsidP="00C146D4">
      <w:pPr>
        <w:spacing w:after="0" w:line="240" w:lineRule="auto"/>
      </w:pPr>
      <w:r>
        <w:separator/>
      </w:r>
    </w:p>
  </w:endnote>
  <w:endnote w:type="continuationSeparator" w:id="1">
    <w:p w:rsidR="005271DE" w:rsidRDefault="005271DE" w:rsidP="00C146D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271DE" w:rsidRDefault="005271DE" w:rsidP="00C146D4">
      <w:pPr>
        <w:spacing w:after="0" w:line="240" w:lineRule="auto"/>
      </w:pPr>
      <w:r>
        <w:separator/>
      </w:r>
    </w:p>
  </w:footnote>
  <w:footnote w:type="continuationSeparator" w:id="1">
    <w:p w:rsidR="005271DE" w:rsidRDefault="005271DE" w:rsidP="00C146D4">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501E7"/>
    <w:rsid w:val="000501E7"/>
    <w:rsid w:val="000631C9"/>
    <w:rsid w:val="00127984"/>
    <w:rsid w:val="001B6596"/>
    <w:rsid w:val="00221AD6"/>
    <w:rsid w:val="002B3DAF"/>
    <w:rsid w:val="004B086A"/>
    <w:rsid w:val="004F684E"/>
    <w:rsid w:val="00502BEF"/>
    <w:rsid w:val="005271DE"/>
    <w:rsid w:val="00632BA7"/>
    <w:rsid w:val="006D29D4"/>
    <w:rsid w:val="008E609F"/>
    <w:rsid w:val="00A9130E"/>
    <w:rsid w:val="00B55D30"/>
    <w:rsid w:val="00B560A6"/>
    <w:rsid w:val="00C146D4"/>
    <w:rsid w:val="00DC50ED"/>
    <w:rsid w:val="00E45FFE"/>
    <w:rsid w:val="00E7542E"/>
    <w:rsid w:val="00EC6991"/>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31C9"/>
    <w:pPr>
      <w:bidi/>
    </w:p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B3DAF"/>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B3DAF"/>
    <w:rPr>
      <w:b/>
      <w:bCs/>
    </w:rPr>
  </w:style>
  <w:style w:type="paragraph" w:styleId="BalloonText">
    <w:name w:val="Balloon Text"/>
    <w:basedOn w:val="Normal"/>
    <w:link w:val="BalloonTextChar"/>
    <w:uiPriority w:val="99"/>
    <w:semiHidden/>
    <w:unhideWhenUsed/>
    <w:rsid w:val="00B55D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5D30"/>
    <w:rPr>
      <w:rFonts w:ascii="Tahoma" w:hAnsi="Tahoma" w:cs="Tahoma"/>
      <w:sz w:val="16"/>
      <w:szCs w:val="16"/>
    </w:rPr>
  </w:style>
  <w:style w:type="paragraph" w:styleId="Header">
    <w:name w:val="header"/>
    <w:basedOn w:val="Normal"/>
    <w:link w:val="HeaderChar"/>
    <w:uiPriority w:val="99"/>
    <w:semiHidden/>
    <w:unhideWhenUsed/>
    <w:rsid w:val="00C146D4"/>
    <w:pPr>
      <w:tabs>
        <w:tab w:val="center" w:pos="4153"/>
        <w:tab w:val="right" w:pos="8306"/>
      </w:tabs>
      <w:spacing w:after="0" w:line="240" w:lineRule="auto"/>
    </w:pPr>
  </w:style>
  <w:style w:type="character" w:customStyle="1" w:styleId="HeaderChar">
    <w:name w:val="Header Char"/>
    <w:basedOn w:val="DefaultParagraphFont"/>
    <w:link w:val="Header"/>
    <w:uiPriority w:val="99"/>
    <w:semiHidden/>
    <w:rsid w:val="00C146D4"/>
  </w:style>
  <w:style w:type="paragraph" w:styleId="Footer">
    <w:name w:val="footer"/>
    <w:basedOn w:val="Normal"/>
    <w:link w:val="FooterChar"/>
    <w:uiPriority w:val="99"/>
    <w:semiHidden/>
    <w:unhideWhenUsed/>
    <w:rsid w:val="00C146D4"/>
    <w:pPr>
      <w:tabs>
        <w:tab w:val="center" w:pos="4153"/>
        <w:tab w:val="right" w:pos="8306"/>
      </w:tabs>
      <w:spacing w:after="0" w:line="240" w:lineRule="auto"/>
    </w:pPr>
  </w:style>
  <w:style w:type="character" w:customStyle="1" w:styleId="FooterChar">
    <w:name w:val="Footer Char"/>
    <w:basedOn w:val="DefaultParagraphFont"/>
    <w:link w:val="Footer"/>
    <w:uiPriority w:val="99"/>
    <w:semiHidden/>
    <w:rsid w:val="00C146D4"/>
  </w:style>
  <w:style w:type="paragraph" w:styleId="ListParagraph">
    <w:name w:val="List Paragraph"/>
    <w:basedOn w:val="Normal"/>
    <w:uiPriority w:val="34"/>
    <w:qFormat/>
    <w:rsid w:val="00127984"/>
    <w:pPr>
      <w:ind w:left="720"/>
      <w:contextualSpacing/>
    </w:pPr>
  </w:style>
</w:styles>
</file>

<file path=word/webSettings.xml><?xml version="1.0" encoding="utf-8"?>
<w:webSettings xmlns:r="http://schemas.openxmlformats.org/officeDocument/2006/relationships" xmlns:w="http://schemas.openxmlformats.org/wordprocessingml/2006/main">
  <w:divs>
    <w:div w:id="8220519">
      <w:bodyDiv w:val="1"/>
      <w:marLeft w:val="0"/>
      <w:marRight w:val="0"/>
      <w:marTop w:val="0"/>
      <w:marBottom w:val="0"/>
      <w:divBdr>
        <w:top w:val="none" w:sz="0" w:space="0" w:color="auto"/>
        <w:left w:val="none" w:sz="0" w:space="0" w:color="auto"/>
        <w:bottom w:val="none" w:sz="0" w:space="0" w:color="auto"/>
        <w:right w:val="none" w:sz="0" w:space="0" w:color="auto"/>
      </w:divBdr>
    </w:div>
    <w:div w:id="53892117">
      <w:bodyDiv w:val="1"/>
      <w:marLeft w:val="0"/>
      <w:marRight w:val="0"/>
      <w:marTop w:val="0"/>
      <w:marBottom w:val="0"/>
      <w:divBdr>
        <w:top w:val="none" w:sz="0" w:space="0" w:color="auto"/>
        <w:left w:val="none" w:sz="0" w:space="0" w:color="auto"/>
        <w:bottom w:val="none" w:sz="0" w:space="0" w:color="auto"/>
        <w:right w:val="none" w:sz="0" w:space="0" w:color="auto"/>
      </w:divBdr>
    </w:div>
    <w:div w:id="347559383">
      <w:bodyDiv w:val="1"/>
      <w:marLeft w:val="0"/>
      <w:marRight w:val="0"/>
      <w:marTop w:val="0"/>
      <w:marBottom w:val="0"/>
      <w:divBdr>
        <w:top w:val="none" w:sz="0" w:space="0" w:color="auto"/>
        <w:left w:val="none" w:sz="0" w:space="0" w:color="auto"/>
        <w:bottom w:val="none" w:sz="0" w:space="0" w:color="auto"/>
        <w:right w:val="none" w:sz="0" w:space="0" w:color="auto"/>
      </w:divBdr>
    </w:div>
    <w:div w:id="1112359849">
      <w:bodyDiv w:val="1"/>
      <w:marLeft w:val="0"/>
      <w:marRight w:val="0"/>
      <w:marTop w:val="0"/>
      <w:marBottom w:val="0"/>
      <w:divBdr>
        <w:top w:val="none" w:sz="0" w:space="0" w:color="auto"/>
        <w:left w:val="none" w:sz="0" w:space="0" w:color="auto"/>
        <w:bottom w:val="none" w:sz="0" w:space="0" w:color="auto"/>
        <w:right w:val="none" w:sz="0" w:space="0" w:color="auto"/>
      </w:divBdr>
    </w:div>
    <w:div w:id="1348024806">
      <w:bodyDiv w:val="1"/>
      <w:marLeft w:val="0"/>
      <w:marRight w:val="0"/>
      <w:marTop w:val="0"/>
      <w:marBottom w:val="0"/>
      <w:divBdr>
        <w:top w:val="none" w:sz="0" w:space="0" w:color="auto"/>
        <w:left w:val="none" w:sz="0" w:space="0" w:color="auto"/>
        <w:bottom w:val="none" w:sz="0" w:space="0" w:color="auto"/>
        <w:right w:val="none" w:sz="0" w:space="0" w:color="auto"/>
      </w:divBdr>
    </w:div>
    <w:div w:id="1427925044">
      <w:bodyDiv w:val="1"/>
      <w:marLeft w:val="0"/>
      <w:marRight w:val="0"/>
      <w:marTop w:val="0"/>
      <w:marBottom w:val="0"/>
      <w:divBdr>
        <w:top w:val="none" w:sz="0" w:space="0" w:color="auto"/>
        <w:left w:val="none" w:sz="0" w:space="0" w:color="auto"/>
        <w:bottom w:val="none" w:sz="0" w:space="0" w:color="auto"/>
        <w:right w:val="none" w:sz="0" w:space="0" w:color="auto"/>
      </w:divBdr>
    </w:div>
    <w:div w:id="1568222435">
      <w:bodyDiv w:val="1"/>
      <w:marLeft w:val="0"/>
      <w:marRight w:val="0"/>
      <w:marTop w:val="0"/>
      <w:marBottom w:val="0"/>
      <w:divBdr>
        <w:top w:val="none" w:sz="0" w:space="0" w:color="auto"/>
        <w:left w:val="none" w:sz="0" w:space="0" w:color="auto"/>
        <w:bottom w:val="none" w:sz="0" w:space="0" w:color="auto"/>
        <w:right w:val="none" w:sz="0" w:space="0" w:color="auto"/>
      </w:divBdr>
    </w:div>
    <w:div w:id="1618564100">
      <w:bodyDiv w:val="1"/>
      <w:marLeft w:val="0"/>
      <w:marRight w:val="0"/>
      <w:marTop w:val="0"/>
      <w:marBottom w:val="0"/>
      <w:divBdr>
        <w:top w:val="none" w:sz="0" w:space="0" w:color="auto"/>
        <w:left w:val="none" w:sz="0" w:space="0" w:color="auto"/>
        <w:bottom w:val="none" w:sz="0" w:space="0" w:color="auto"/>
        <w:right w:val="none" w:sz="0" w:space="0" w:color="auto"/>
      </w:divBdr>
    </w:div>
    <w:div w:id="1781993737">
      <w:bodyDiv w:val="1"/>
      <w:marLeft w:val="0"/>
      <w:marRight w:val="0"/>
      <w:marTop w:val="0"/>
      <w:marBottom w:val="0"/>
      <w:divBdr>
        <w:top w:val="none" w:sz="0" w:space="0" w:color="auto"/>
        <w:left w:val="none" w:sz="0" w:space="0" w:color="auto"/>
        <w:bottom w:val="none" w:sz="0" w:space="0" w:color="auto"/>
        <w:right w:val="none" w:sz="0" w:space="0" w:color="auto"/>
      </w:divBdr>
    </w:div>
    <w:div w:id="1816019674">
      <w:bodyDiv w:val="1"/>
      <w:marLeft w:val="0"/>
      <w:marRight w:val="0"/>
      <w:marTop w:val="0"/>
      <w:marBottom w:val="0"/>
      <w:divBdr>
        <w:top w:val="none" w:sz="0" w:space="0" w:color="auto"/>
        <w:left w:val="none" w:sz="0" w:space="0" w:color="auto"/>
        <w:bottom w:val="none" w:sz="0" w:space="0" w:color="auto"/>
        <w:right w:val="none" w:sz="0" w:space="0" w:color="auto"/>
      </w:divBdr>
    </w:div>
    <w:div w:id="2057700241">
      <w:bodyDiv w:val="1"/>
      <w:marLeft w:val="0"/>
      <w:marRight w:val="0"/>
      <w:marTop w:val="0"/>
      <w:marBottom w:val="0"/>
      <w:divBdr>
        <w:top w:val="none" w:sz="0" w:space="0" w:color="auto"/>
        <w:left w:val="none" w:sz="0" w:space="0" w:color="auto"/>
        <w:bottom w:val="none" w:sz="0" w:space="0" w:color="auto"/>
        <w:right w:val="none" w:sz="0" w:space="0" w:color="auto"/>
      </w:divBdr>
    </w:div>
    <w:div w:id="2057701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chart" Target="charts/chart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2.png"/></Relationships>
</file>

<file path=word/charts/_rels/chart1.xml.rels><?xml version="1.0" encoding="UTF-8" standalone="yes"?>
<Relationships xmlns="http://schemas.openxmlformats.org/package/2006/relationships"><Relationship Id="rId1" Type="http://schemas.openxmlformats.org/officeDocument/2006/relationships/oleObject" Target="file:///E:\Mahmoud%20zaki\survival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E:\Mahmoud%20zaki\survival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ar-EG"/>
  <c:chart>
    <c:view3D>
      <c:rotX val="30"/>
      <c:perspective val="30"/>
    </c:view3D>
    <c:plotArea>
      <c:layout>
        <c:manualLayout>
          <c:layoutTarget val="inner"/>
          <c:xMode val="edge"/>
          <c:yMode val="edge"/>
          <c:x val="0.10791621443771218"/>
          <c:y val="8.7403097186732323E-2"/>
          <c:w val="0.67909137255641161"/>
          <c:h val="0.79991665311432769"/>
        </c:manualLayout>
      </c:layout>
      <c:pie3DChart>
        <c:varyColors val="1"/>
        <c:ser>
          <c:idx val="0"/>
          <c:order val="0"/>
          <c:explosion val="8"/>
          <c:cat>
            <c:strRef>
              <c:f>Sheet1!$G$3:$G$6</c:f>
              <c:strCache>
                <c:ptCount val="4"/>
                <c:pt idx="0">
                  <c:v>Complete response 25</c:v>
                </c:pt>
                <c:pt idx="1">
                  <c:v>Partial response (15)</c:v>
                </c:pt>
                <c:pt idx="2">
                  <c:v>Stable disease (2)</c:v>
                </c:pt>
                <c:pt idx="3">
                  <c:v>Progressive disease (20)</c:v>
                </c:pt>
              </c:strCache>
            </c:strRef>
          </c:cat>
          <c:val>
            <c:numRef>
              <c:f>Sheet1!$H$3:$H$6</c:f>
              <c:numCache>
                <c:formatCode>General</c:formatCode>
                <c:ptCount val="4"/>
                <c:pt idx="0">
                  <c:v>25</c:v>
                </c:pt>
                <c:pt idx="1">
                  <c:v>15</c:v>
                </c:pt>
                <c:pt idx="2">
                  <c:v>2</c:v>
                </c:pt>
                <c:pt idx="3">
                  <c:v>20</c:v>
                </c:pt>
              </c:numCache>
            </c:numRef>
          </c:val>
        </c:ser>
      </c:pie3DChart>
    </c:plotArea>
    <c:legend>
      <c:legendPos val="r"/>
      <c:layout>
        <c:manualLayout>
          <c:xMode val="edge"/>
          <c:yMode val="edge"/>
          <c:x val="4.8480905698753463E-2"/>
          <c:y val="0.83142180398181942"/>
          <c:w val="0.87722645610779504"/>
          <c:h val="0.13976652166853257"/>
        </c:manualLayout>
      </c:layout>
      <c:txPr>
        <a:bodyPr/>
        <a:lstStyle/>
        <a:p>
          <a:pPr>
            <a:defRPr lang="en-US"/>
          </a:pPr>
          <a:endParaRPr lang="ar-EG"/>
        </a:p>
      </c:txPr>
    </c:legend>
    <c:plotVisOnly val="1"/>
    <c:dispBlanksAs val="zero"/>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ar-EG"/>
  <c:chart>
    <c:view3D>
      <c:rotX val="30"/>
      <c:perspective val="30"/>
    </c:view3D>
    <c:plotArea>
      <c:layout>
        <c:manualLayout>
          <c:layoutTarget val="inner"/>
          <c:xMode val="edge"/>
          <c:yMode val="edge"/>
          <c:x val="3.259253111922561E-2"/>
          <c:y val="0"/>
          <c:w val="0.6685345784938278"/>
          <c:h val="1"/>
        </c:manualLayout>
      </c:layout>
      <c:pie3DChart>
        <c:varyColors val="1"/>
        <c:ser>
          <c:idx val="0"/>
          <c:order val="0"/>
          <c:cat>
            <c:strRef>
              <c:f>Sheet1!$G$23:$G$24</c:f>
              <c:strCache>
                <c:ptCount val="2"/>
                <c:pt idx="0">
                  <c:v>Decompensated (36)</c:v>
                </c:pt>
                <c:pt idx="1">
                  <c:v>Not  decompensated (26)</c:v>
                </c:pt>
              </c:strCache>
            </c:strRef>
          </c:cat>
          <c:val>
            <c:numRef>
              <c:f>Sheet1!$H$23:$H$24</c:f>
              <c:numCache>
                <c:formatCode>General</c:formatCode>
                <c:ptCount val="2"/>
                <c:pt idx="0">
                  <c:v>36</c:v>
                </c:pt>
                <c:pt idx="1">
                  <c:v>26</c:v>
                </c:pt>
              </c:numCache>
            </c:numRef>
          </c:val>
        </c:ser>
      </c:pie3DChart>
    </c:plotArea>
    <c:legend>
      <c:legendPos val="r"/>
      <c:layout>
        <c:manualLayout>
          <c:xMode val="edge"/>
          <c:yMode val="edge"/>
          <c:x val="0.73752881286336947"/>
          <c:y val="0.21513640199493694"/>
          <c:w val="0.24469336714220419"/>
          <c:h val="0.58496518459563085"/>
        </c:manualLayout>
      </c:layout>
      <c:txPr>
        <a:bodyPr/>
        <a:lstStyle/>
        <a:p>
          <a:pPr>
            <a:defRPr lang="en-US"/>
          </a:pPr>
          <a:endParaRPr lang="ar-EG"/>
        </a:p>
      </c:txPr>
    </c:legend>
    <c:plotVisOnly val="1"/>
    <c:dispBlanksAs val="zero"/>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215</TotalTime>
  <Pages>6</Pages>
  <Words>1108</Words>
  <Characters>6319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click</dc:creator>
  <cp:lastModifiedBy>click</cp:lastModifiedBy>
  <cp:revision>8</cp:revision>
  <dcterms:created xsi:type="dcterms:W3CDTF">2017-08-11T09:02:00Z</dcterms:created>
  <dcterms:modified xsi:type="dcterms:W3CDTF">2017-08-12T18:07:00Z</dcterms:modified>
</cp:coreProperties>
</file>