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C6C" w:rsidRPr="00E81C6C" w:rsidRDefault="00E81C6C" w:rsidP="00E81C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12121"/>
          <w:lang w:eastAsia="en-GB"/>
        </w:rPr>
      </w:pPr>
      <w:r w:rsidRPr="00E81C6C">
        <w:rPr>
          <w:b/>
          <w:lang w:val="en-NZ"/>
        </w:rPr>
        <w:t xml:space="preserve">Title: </w:t>
      </w:r>
      <w:r w:rsidRPr="00E81C6C">
        <w:rPr>
          <w:b/>
          <w:color w:val="212121"/>
          <w:lang w:eastAsia="en-GB"/>
        </w:rPr>
        <w:t>The Role of Stronger Neo Minophagen C as Complementary Therapy in Patients with Elevated Transaminase Enzyme: an Evidence-based Case Report</w:t>
      </w:r>
    </w:p>
    <w:p w:rsidR="00E81C6C" w:rsidRPr="00E81C6C" w:rsidRDefault="00E81C6C" w:rsidP="00E81C6C">
      <w:pPr>
        <w:jc w:val="both"/>
        <w:rPr>
          <w:b/>
          <w:lang w:val="en-NZ"/>
        </w:rPr>
      </w:pPr>
    </w:p>
    <w:p w:rsidR="00E81C6C" w:rsidRPr="00E81C6C" w:rsidRDefault="00E81C6C" w:rsidP="00E81C6C">
      <w:pPr>
        <w:jc w:val="both"/>
        <w:rPr>
          <w:b/>
          <w:lang w:val="en-NZ"/>
        </w:rPr>
      </w:pPr>
    </w:p>
    <w:p w:rsidR="00E81C6C" w:rsidRPr="00E81C6C" w:rsidRDefault="00E81C6C" w:rsidP="00E81C6C">
      <w:pPr>
        <w:jc w:val="center"/>
        <w:rPr>
          <w:b/>
          <w:vertAlign w:val="superscript"/>
        </w:rPr>
      </w:pPr>
      <w:r w:rsidRPr="00E81C6C">
        <w:rPr>
          <w:b/>
        </w:rPr>
        <w:t>Yodya Evila</w:t>
      </w:r>
      <w:r w:rsidRPr="00E81C6C">
        <w:rPr>
          <w:b/>
          <w:vertAlign w:val="superscript"/>
        </w:rPr>
        <w:t>1</w:t>
      </w:r>
      <w:r w:rsidRPr="00E81C6C">
        <w:rPr>
          <w:b/>
        </w:rPr>
        <w:t>, Indra Wijaya</w:t>
      </w:r>
      <w:r w:rsidRPr="00E81C6C">
        <w:rPr>
          <w:b/>
          <w:vertAlign w:val="superscript"/>
        </w:rPr>
        <w:t>2</w:t>
      </w:r>
    </w:p>
    <w:p w:rsidR="00E81C6C" w:rsidRPr="00E81C6C" w:rsidRDefault="00E81C6C" w:rsidP="00E81C6C">
      <w:pPr>
        <w:jc w:val="center"/>
      </w:pPr>
      <w:r w:rsidRPr="00E81C6C">
        <w:rPr>
          <w:b/>
          <w:vertAlign w:val="superscript"/>
        </w:rPr>
        <w:t>1</w:t>
      </w:r>
      <w:r w:rsidRPr="00E81C6C">
        <w:t>Wakai District Hospital, Central Sulawesi, Indonesia</w:t>
      </w:r>
    </w:p>
    <w:p w:rsidR="00E81C6C" w:rsidRPr="00E81C6C" w:rsidRDefault="00E81C6C" w:rsidP="00E81C6C">
      <w:pPr>
        <w:jc w:val="center"/>
      </w:pPr>
      <w:r w:rsidRPr="00E81C6C">
        <w:rPr>
          <w:vertAlign w:val="superscript"/>
        </w:rPr>
        <w:t>2</w:t>
      </w:r>
      <w:r w:rsidRPr="00E81C6C">
        <w:t>Department of Internal Medicine, Pantai Indah Kapuk Hospital, Jakarta, Indonesia</w:t>
      </w:r>
    </w:p>
    <w:p w:rsidR="00E81C6C" w:rsidRPr="00E81C6C" w:rsidRDefault="00E81C6C" w:rsidP="00E81C6C">
      <w:pPr>
        <w:jc w:val="both"/>
        <w:rPr>
          <w:b/>
          <w:lang w:val="en-NZ"/>
        </w:rPr>
      </w:pPr>
    </w:p>
    <w:p w:rsidR="00E81C6C" w:rsidRPr="00E81C6C" w:rsidRDefault="00E81C6C" w:rsidP="00E81C6C">
      <w:pPr>
        <w:jc w:val="both"/>
        <w:rPr>
          <w:b/>
          <w:lang w:val="en-NZ"/>
        </w:rPr>
      </w:pPr>
    </w:p>
    <w:p w:rsidR="00E81C6C" w:rsidRPr="00E81C6C" w:rsidRDefault="00E81C6C" w:rsidP="00E81C6C">
      <w:pPr>
        <w:pStyle w:val="HTMLPreformatted"/>
        <w:jc w:val="both"/>
        <w:rPr>
          <w:rFonts w:ascii="Times New Roman" w:hAnsi="Times New Roman" w:cs="Times New Roman"/>
          <w:sz w:val="24"/>
          <w:szCs w:val="24"/>
        </w:rPr>
      </w:pPr>
      <w:r w:rsidRPr="00E81C6C">
        <w:rPr>
          <w:rFonts w:ascii="Times New Roman" w:hAnsi="Times New Roman" w:cs="Times New Roman"/>
          <w:color w:val="000000"/>
          <w:sz w:val="24"/>
          <w:szCs w:val="24"/>
        </w:rPr>
        <w:t xml:space="preserve">As an alternative complementary therapy in liver diseases, Stronger Neo Minophagen C (SNMC) a drug containing  </w:t>
      </w:r>
      <w:r w:rsidRPr="00E81C6C">
        <w:rPr>
          <w:rFonts w:ascii="Times New Roman" w:hAnsi="Times New Roman" w:cs="Times New Roman"/>
          <w:i/>
          <w:color w:val="000000"/>
          <w:sz w:val="24"/>
          <w:szCs w:val="24"/>
        </w:rPr>
        <w:t>glycyrrhizin glabra</w:t>
      </w:r>
      <w:r w:rsidRPr="00E81C6C">
        <w:rPr>
          <w:rFonts w:ascii="Times New Roman" w:hAnsi="Times New Roman" w:cs="Times New Roman"/>
          <w:color w:val="000000"/>
          <w:sz w:val="24"/>
          <w:szCs w:val="24"/>
        </w:rPr>
        <w:t>, has been identified to have significant hepatoprotective activity with minimal side effects, rendering it perfect for longterm treatment. It  has been used in treating chronic hepatitis and proven to reduce the incidence of hepatocellular carcinoma. Even so,the benefits of SNMC in patients in acute settings, is not known clearly.</w:t>
      </w:r>
      <w:r w:rsidRPr="00E81C6C">
        <w:rPr>
          <w:rFonts w:ascii="Times New Roman" w:hAnsi="Times New Roman" w:cs="Times New Roman"/>
          <w:b/>
          <w:sz w:val="24"/>
          <w:szCs w:val="24"/>
          <w:lang w:val="fi-FI"/>
        </w:rPr>
        <w:t xml:space="preserve"> </w:t>
      </w:r>
      <w:r w:rsidRPr="00E81C6C">
        <w:rPr>
          <w:rFonts w:ascii="Times New Roman" w:hAnsi="Times New Roman" w:cs="Times New Roman"/>
          <w:sz w:val="24"/>
          <w:szCs w:val="24"/>
          <w:lang w:val="fi-FI"/>
        </w:rPr>
        <w:t xml:space="preserve">Based on our previous case on patient with elevated transaminases who responded well with SNMC as complementary therapy, we conducted literature searching on Pubmed, Cochrane Library, EBSCO and Proquest. After filtered with our inclusion and exclusion criteria, one  systematic review, five cohort studies and four randomized clinical trials are obtained. Through critical appraisal, it was concluded that the articles meet the criteria for validity and relevance. </w:t>
      </w:r>
      <w:r w:rsidRPr="00E81C6C">
        <w:rPr>
          <w:rFonts w:ascii="Times New Roman" w:hAnsi="Times New Roman" w:cs="Times New Roman"/>
          <w:sz w:val="24"/>
          <w:szCs w:val="24"/>
          <w:lang/>
        </w:rPr>
        <w:t>The articles found that the role of SNMC as supportive therapy are effective on some acute drug induces liver disease’s cases and autoimmune hepatitis, hepatitis C, B, and E,  but it is not useful for treatment of anti-tuberculosis drug induced hepatitis.</w:t>
      </w:r>
      <w:r w:rsidRPr="00E81C6C">
        <w:rPr>
          <w:rFonts w:ascii="Times New Roman" w:hAnsi="Times New Roman" w:cs="Times New Roman"/>
          <w:b/>
          <w:sz w:val="24"/>
          <w:szCs w:val="24"/>
          <w:lang w:val="fi-FI"/>
        </w:rPr>
        <w:t xml:space="preserve"> </w:t>
      </w:r>
      <w:r w:rsidRPr="00E81C6C">
        <w:rPr>
          <w:rFonts w:ascii="Times New Roman" w:hAnsi="Times New Roman" w:cs="Times New Roman"/>
          <w:sz w:val="24"/>
          <w:szCs w:val="24"/>
          <w:lang w:val="fi-FI"/>
        </w:rPr>
        <w:t xml:space="preserve">The usage of SNMC on hepatitis C clearly beneficial to reduce the level of transaminases and prevent carcinogenesis. The role of SNMC for supportive therapy in some cases of acute liver disease shows positive results in the efficacy and safety and </w:t>
      </w:r>
      <w:r w:rsidRPr="00E81C6C">
        <w:rPr>
          <w:rFonts w:ascii="Times New Roman" w:hAnsi="Times New Roman" w:cs="Times New Roman"/>
          <w:color w:val="000000"/>
          <w:sz w:val="24"/>
          <w:szCs w:val="24"/>
        </w:rPr>
        <w:t>were significantly supported by histological evidence (70%). SNMC improved liver function within the first week of treatment. Normalization of AST and ALT and total bilirubin occurred within 30 days of therapy.</w:t>
      </w:r>
    </w:p>
    <w:p w:rsidR="00E81C6C" w:rsidRPr="00E81C6C" w:rsidRDefault="00E81C6C" w:rsidP="00E81C6C">
      <w:pPr>
        <w:jc w:val="both"/>
        <w:rPr>
          <w:b/>
          <w:lang w:val="en-NZ"/>
        </w:rPr>
      </w:pPr>
    </w:p>
    <w:p w:rsidR="00E81C6C" w:rsidRPr="00E81C6C" w:rsidRDefault="00E81C6C" w:rsidP="00E81C6C">
      <w:pPr>
        <w:rPr>
          <w:b/>
        </w:rPr>
      </w:pPr>
      <w:r w:rsidRPr="00E81C6C">
        <w:rPr>
          <w:b/>
        </w:rPr>
        <w:t xml:space="preserve">Recent Publications </w:t>
      </w:r>
    </w:p>
    <w:p w:rsidR="00E81C6C" w:rsidRPr="00E81C6C" w:rsidRDefault="00E81C6C" w:rsidP="00E81C6C">
      <w:pPr>
        <w:numPr>
          <w:ilvl w:val="0"/>
          <w:numId w:val="4"/>
        </w:numPr>
        <w:jc w:val="both"/>
        <w:rPr>
          <w:color w:val="222222"/>
          <w:shd w:val="clear" w:color="auto" w:fill="FFFFFF"/>
        </w:rPr>
      </w:pPr>
      <w:r w:rsidRPr="00E81C6C">
        <w:rPr>
          <w:color w:val="222222"/>
          <w:shd w:val="clear" w:color="auto" w:fill="FFFFFF"/>
        </w:rPr>
        <w:t>Manns MP, et al. Glycyrrhizin in patients who failed previous interferon alpha</w:t>
      </w:r>
      <w:r w:rsidRPr="00E81C6C">
        <w:rPr>
          <w:rFonts w:ascii="Cambria Math" w:hAnsi="Cambria Math"/>
          <w:color w:val="222222"/>
          <w:shd w:val="clear" w:color="auto" w:fill="FFFFFF"/>
        </w:rPr>
        <w:t>‐</w:t>
      </w:r>
      <w:r w:rsidRPr="00E81C6C">
        <w:rPr>
          <w:color w:val="222222"/>
          <w:shd w:val="clear" w:color="auto" w:fill="FFFFFF"/>
        </w:rPr>
        <w:t>based therapies: biochemical and histological effects after 52 weeks.</w:t>
      </w:r>
      <w:r w:rsidRPr="00E81C6C">
        <w:rPr>
          <w:iCs/>
          <w:color w:val="222222"/>
          <w:shd w:val="clear" w:color="auto" w:fill="FFFFFF"/>
        </w:rPr>
        <w:t>J Viral Hepat</w:t>
      </w:r>
      <w:r w:rsidRPr="00E81C6C">
        <w:rPr>
          <w:color w:val="222222"/>
          <w:shd w:val="clear" w:color="auto" w:fill="FFFFFF"/>
        </w:rPr>
        <w:t>. 2012;19(8):537-46.</w:t>
      </w:r>
    </w:p>
    <w:p w:rsidR="00E81C6C" w:rsidRPr="00E81C6C" w:rsidRDefault="00E81C6C" w:rsidP="00E81C6C">
      <w:pPr>
        <w:numPr>
          <w:ilvl w:val="0"/>
          <w:numId w:val="4"/>
        </w:numPr>
        <w:jc w:val="both"/>
        <w:rPr>
          <w:color w:val="222222"/>
          <w:shd w:val="clear" w:color="auto" w:fill="FFFFFF"/>
        </w:rPr>
      </w:pPr>
      <w:r w:rsidRPr="00E81C6C">
        <w:rPr>
          <w:color w:val="222222"/>
          <w:shd w:val="clear" w:color="auto" w:fill="FFFFFF"/>
        </w:rPr>
        <w:t xml:space="preserve">KumadaH. Long-term treatment of chronic hepatitis C with glycyrrhizin [stronger neo-minophagen C (SNMC)] for preventing liver cirrhosis and hepatocellular carcinoma. </w:t>
      </w:r>
      <w:r w:rsidRPr="00E81C6C">
        <w:rPr>
          <w:iCs/>
          <w:color w:val="222222"/>
          <w:shd w:val="clear" w:color="auto" w:fill="FFFFFF"/>
        </w:rPr>
        <w:t>Oncology. 2002;</w:t>
      </w:r>
      <w:r w:rsidRPr="00E81C6C">
        <w:rPr>
          <w:color w:val="222222"/>
          <w:shd w:val="clear" w:color="auto" w:fill="FFFFFF"/>
        </w:rPr>
        <w:t>62(1):94-100.</w:t>
      </w:r>
    </w:p>
    <w:p w:rsidR="00E81C6C" w:rsidRPr="00E81C6C" w:rsidRDefault="00E81C6C" w:rsidP="00E81C6C">
      <w:pPr>
        <w:numPr>
          <w:ilvl w:val="0"/>
          <w:numId w:val="4"/>
        </w:numPr>
        <w:jc w:val="both"/>
        <w:rPr>
          <w:color w:val="222222"/>
          <w:shd w:val="clear" w:color="auto" w:fill="FFFFFF"/>
        </w:rPr>
      </w:pPr>
      <w:r w:rsidRPr="00E81C6C">
        <w:rPr>
          <w:color w:val="222222"/>
          <w:shd w:val="clear" w:color="auto" w:fill="FFFFFF"/>
        </w:rPr>
        <w:t>Miyazawa N, Takahashi H, Yoshiike Y, et al. Effect of glycyrrhizin on anti-tuberculosis drug-induced hepatitis.</w:t>
      </w:r>
      <w:r w:rsidRPr="00E81C6C">
        <w:rPr>
          <w:rStyle w:val="apple-converted-space"/>
          <w:color w:val="222222"/>
          <w:shd w:val="clear" w:color="auto" w:fill="FFFFFF"/>
        </w:rPr>
        <w:t> </w:t>
      </w:r>
      <w:r w:rsidRPr="00E81C6C">
        <w:rPr>
          <w:iCs/>
          <w:color w:val="222222"/>
          <w:shd w:val="clear" w:color="auto" w:fill="FFFFFF"/>
        </w:rPr>
        <w:t>Kekkaku</w:t>
      </w:r>
      <w:r w:rsidRPr="00E81C6C">
        <w:rPr>
          <w:color w:val="222222"/>
          <w:shd w:val="clear" w:color="auto" w:fill="FFFFFF"/>
        </w:rPr>
        <w:t>. 2003;</w:t>
      </w:r>
      <w:r w:rsidRPr="00E81C6C">
        <w:rPr>
          <w:iCs/>
          <w:color w:val="222222"/>
          <w:shd w:val="clear" w:color="auto" w:fill="FFFFFF"/>
        </w:rPr>
        <w:t>78</w:t>
      </w:r>
      <w:r w:rsidRPr="00E81C6C">
        <w:rPr>
          <w:color w:val="222222"/>
          <w:shd w:val="clear" w:color="auto" w:fill="FFFFFF"/>
        </w:rPr>
        <w:t>(1):15-19.</w:t>
      </w:r>
    </w:p>
    <w:p w:rsidR="00E81C6C" w:rsidRPr="00E81C6C" w:rsidRDefault="00E81C6C" w:rsidP="00E81C6C">
      <w:pPr>
        <w:numPr>
          <w:ilvl w:val="0"/>
          <w:numId w:val="4"/>
        </w:numPr>
        <w:jc w:val="both"/>
        <w:rPr>
          <w:color w:val="222222"/>
          <w:shd w:val="clear" w:color="auto" w:fill="FFFFFF"/>
        </w:rPr>
      </w:pPr>
      <w:r w:rsidRPr="00E81C6C">
        <w:tab/>
      </w:r>
      <w:r w:rsidRPr="00E81C6C">
        <w:rPr>
          <w:color w:val="222222"/>
          <w:shd w:val="clear" w:color="auto" w:fill="FFFFFF"/>
        </w:rPr>
        <w:t>Tandon A, Tandon BN, Bhujwala RA. Clinical spectrum of acute sporadic hepatitis E and possible benefit of glycyrrhizin therapy.</w:t>
      </w:r>
      <w:r w:rsidRPr="00E81C6C">
        <w:rPr>
          <w:iCs/>
          <w:color w:val="222222"/>
          <w:shd w:val="clear" w:color="auto" w:fill="FFFFFF"/>
        </w:rPr>
        <w:t>Hepatology. 2002;23</w:t>
      </w:r>
      <w:r w:rsidRPr="00E81C6C">
        <w:rPr>
          <w:color w:val="222222"/>
          <w:shd w:val="clear" w:color="auto" w:fill="FFFFFF"/>
        </w:rPr>
        <w:t>(1): 55-61.</w:t>
      </w:r>
    </w:p>
    <w:p w:rsidR="00E81C6C" w:rsidRPr="00E81C6C" w:rsidRDefault="00E81C6C" w:rsidP="00E81C6C">
      <w:pPr>
        <w:numPr>
          <w:ilvl w:val="0"/>
          <w:numId w:val="4"/>
        </w:numPr>
        <w:jc w:val="both"/>
        <w:rPr>
          <w:color w:val="222222"/>
          <w:shd w:val="clear" w:color="auto" w:fill="FFFFFF"/>
        </w:rPr>
      </w:pPr>
      <w:r w:rsidRPr="00E81C6C">
        <w:rPr>
          <w:color w:val="222222"/>
          <w:shd w:val="clear" w:color="auto" w:fill="FFFFFF"/>
        </w:rPr>
        <w:t>Yasui S, Fujiwara K, Tawada A, et al. Efficacy of intravenous glycyrrhizin in the early stage of acute onset autoimmune hepatitis.</w:t>
      </w:r>
      <w:r w:rsidRPr="00E81C6C">
        <w:rPr>
          <w:rStyle w:val="apple-converted-space"/>
          <w:color w:val="222222"/>
          <w:shd w:val="clear" w:color="auto" w:fill="FFFFFF"/>
        </w:rPr>
        <w:t> </w:t>
      </w:r>
      <w:r w:rsidRPr="00E81C6C">
        <w:rPr>
          <w:iCs/>
          <w:color w:val="222222"/>
          <w:shd w:val="clear" w:color="auto" w:fill="FFFFFF"/>
        </w:rPr>
        <w:t>Dig Dis Sci</w:t>
      </w:r>
      <w:r w:rsidRPr="00E81C6C">
        <w:rPr>
          <w:color w:val="222222"/>
          <w:shd w:val="clear" w:color="auto" w:fill="FFFFFF"/>
        </w:rPr>
        <w:t>. 2011;</w:t>
      </w:r>
      <w:r w:rsidRPr="00E81C6C">
        <w:rPr>
          <w:iCs/>
          <w:color w:val="222222"/>
          <w:shd w:val="clear" w:color="auto" w:fill="FFFFFF"/>
        </w:rPr>
        <w:t>56</w:t>
      </w:r>
      <w:r w:rsidRPr="00E81C6C">
        <w:rPr>
          <w:color w:val="222222"/>
          <w:shd w:val="clear" w:color="auto" w:fill="FFFFFF"/>
        </w:rPr>
        <w:t>(12):3638-47</w:t>
      </w:r>
    </w:p>
    <w:p w:rsidR="00E81C6C" w:rsidRPr="00E81C6C" w:rsidRDefault="00E81C6C" w:rsidP="00E81C6C">
      <w:pPr>
        <w:ind w:left="360"/>
        <w:jc w:val="both"/>
        <w:rPr>
          <w:b/>
          <w:color w:val="222222"/>
          <w:shd w:val="clear" w:color="auto" w:fill="FFFFFF"/>
        </w:rPr>
      </w:pPr>
      <w:r w:rsidRPr="00E81C6C">
        <w:rPr>
          <w:b/>
          <w:color w:val="222222"/>
          <w:shd w:val="clear" w:color="auto" w:fill="FFFFFF"/>
        </w:rPr>
        <w:t xml:space="preserve">Biography </w:t>
      </w:r>
    </w:p>
    <w:p w:rsidR="00E81C6C" w:rsidRPr="00E81C6C" w:rsidRDefault="00E81C6C" w:rsidP="00E81C6C">
      <w:pPr>
        <w:ind w:left="360"/>
        <w:jc w:val="both"/>
        <w:rPr>
          <w:color w:val="222222"/>
          <w:shd w:val="clear" w:color="auto" w:fill="FFFFFF"/>
        </w:rPr>
      </w:pPr>
      <w:r w:rsidRPr="00E81C6C">
        <w:rPr>
          <w:color w:val="222222"/>
          <w:shd w:val="clear" w:color="auto" w:fill="FFFFFF"/>
        </w:rPr>
        <w:t xml:space="preserve">Yodya Evila has completed medical degree from Padjadjaran University, Bandung, Indonesia. She is a general practitioner in a District Hospital in a remote island ini Central Sulawesi. She is interested mainly in Internal Medicine and has written some papers about Internal Medicine and tropical infection. </w:t>
      </w:r>
    </w:p>
    <w:p w:rsidR="00E81C6C" w:rsidRPr="00E81C6C" w:rsidRDefault="00E81C6C" w:rsidP="00E81C6C">
      <w:pPr>
        <w:autoSpaceDE w:val="0"/>
        <w:autoSpaceDN w:val="0"/>
        <w:adjustRightInd w:val="0"/>
        <w:rPr>
          <w:b/>
          <w:lang w:val="en-NZ"/>
        </w:rPr>
      </w:pPr>
      <w:r w:rsidRPr="00E81C6C">
        <w:rPr>
          <w:b/>
          <w:lang w:val="en-NZ"/>
        </w:rPr>
        <w:t xml:space="preserve">Presenting author details </w:t>
      </w:r>
      <w:r w:rsidRPr="00E81C6C">
        <w:rPr>
          <w:b/>
          <w:lang w:val="en-NZ"/>
        </w:rPr>
        <w:br/>
      </w:r>
      <w:r w:rsidRPr="00E81C6C">
        <w:rPr>
          <w:lang w:val="en-NZ"/>
        </w:rPr>
        <w:t>Full name: Yodya Evila</w:t>
      </w:r>
      <w:r w:rsidRPr="00E81C6C">
        <w:rPr>
          <w:lang w:val="en-NZ"/>
        </w:rPr>
        <w:br/>
        <w:t>Contact number: +6282219024892</w:t>
      </w:r>
      <w:r w:rsidRPr="00E81C6C">
        <w:rPr>
          <w:lang w:val="en-NZ"/>
        </w:rPr>
        <w:br/>
        <w:t>Twitter account: @yodyaevila</w:t>
      </w:r>
      <w:r w:rsidRPr="00E81C6C">
        <w:rPr>
          <w:lang w:val="en-NZ"/>
        </w:rPr>
        <w:br/>
        <w:t>Linked In account: Yodya Evila</w:t>
      </w:r>
    </w:p>
    <w:p w:rsidR="00AD6315" w:rsidRPr="00E81C6C" w:rsidRDefault="00E81C6C" w:rsidP="00E81C6C">
      <w:pPr>
        <w:autoSpaceDE w:val="0"/>
        <w:autoSpaceDN w:val="0"/>
        <w:adjustRightInd w:val="0"/>
        <w:rPr>
          <w:lang w:val="en-NZ"/>
        </w:rPr>
      </w:pPr>
      <w:r w:rsidRPr="00E81C6C">
        <w:rPr>
          <w:lang w:val="en-NZ"/>
        </w:rPr>
        <w:t>Session name/ number:</w:t>
      </w:r>
      <w:r w:rsidRPr="00E81C6C">
        <w:rPr>
          <w:lang w:val="en-NZ"/>
        </w:rPr>
        <w:br/>
        <w:t>Category: e-poster</w:t>
      </w:r>
      <w:r w:rsidRPr="00E81C6C">
        <w:rPr>
          <w:lang w:val="en-NZ"/>
        </w:rPr>
        <w:br/>
      </w:r>
    </w:p>
    <w:p w:rsidR="00AD6315" w:rsidRPr="00E81C6C" w:rsidRDefault="00AD6315" w:rsidP="00E81C6C">
      <w:pPr>
        <w:autoSpaceDE w:val="0"/>
        <w:autoSpaceDN w:val="0"/>
        <w:adjustRightInd w:val="0"/>
        <w:rPr>
          <w:lang w:val="en-NZ"/>
        </w:rPr>
      </w:pPr>
    </w:p>
    <w:p w:rsidR="00AD6315" w:rsidRPr="00E81C6C" w:rsidRDefault="00AD6315" w:rsidP="00E81C6C">
      <w:pPr>
        <w:autoSpaceDE w:val="0"/>
        <w:autoSpaceDN w:val="0"/>
        <w:adjustRightInd w:val="0"/>
        <w:rPr>
          <w:lang w:val="en-NZ"/>
        </w:rPr>
      </w:pPr>
    </w:p>
    <w:p w:rsidR="00932914" w:rsidRPr="00E81C6C" w:rsidRDefault="00932914" w:rsidP="00E81C6C">
      <w:pPr>
        <w:autoSpaceDE w:val="0"/>
        <w:autoSpaceDN w:val="0"/>
        <w:adjustRightInd w:val="0"/>
        <w:rPr>
          <w:lang w:val="en-NZ"/>
        </w:rPr>
      </w:pPr>
    </w:p>
    <w:p w:rsidR="00932914" w:rsidRPr="00E81C6C" w:rsidRDefault="00932914" w:rsidP="00E81C6C">
      <w:pPr>
        <w:jc w:val="both"/>
        <w:rPr>
          <w:b/>
          <w:lang w:val="en-NZ"/>
        </w:rPr>
      </w:pPr>
    </w:p>
    <w:sectPr w:rsidR="00932914" w:rsidRPr="00E81C6C"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D16" w:rsidRDefault="00EA2D16" w:rsidP="00671A59">
      <w:r>
        <w:separator/>
      </w:r>
    </w:p>
  </w:endnote>
  <w:endnote w:type="continuationSeparator" w:id="1">
    <w:p w:rsidR="00EA2D16" w:rsidRDefault="00EA2D16" w:rsidP="00671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D16" w:rsidRDefault="00EA2D16" w:rsidP="00671A59">
      <w:r>
        <w:separator/>
      </w:r>
    </w:p>
  </w:footnote>
  <w:footnote w:type="continuationSeparator" w:id="1">
    <w:p w:rsidR="00EA2D16" w:rsidRDefault="00EA2D1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478C4"/>
    <w:multiLevelType w:val="hybridMultilevel"/>
    <w:tmpl w:val="6B4E2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7FE37557"/>
    <w:multiLevelType w:val="hybridMultilevel"/>
    <w:tmpl w:val="6B4E2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30AE7"/>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1293"/>
    <w:rsid w:val="00743CCA"/>
    <w:rsid w:val="00746319"/>
    <w:rsid w:val="007875D1"/>
    <w:rsid w:val="00790C29"/>
    <w:rsid w:val="007F0333"/>
    <w:rsid w:val="00800D58"/>
    <w:rsid w:val="00834D93"/>
    <w:rsid w:val="00862283"/>
    <w:rsid w:val="008A3E9A"/>
    <w:rsid w:val="008A690F"/>
    <w:rsid w:val="00901E5B"/>
    <w:rsid w:val="00932914"/>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82ABE"/>
    <w:rsid w:val="00BF5676"/>
    <w:rsid w:val="00CE08A2"/>
    <w:rsid w:val="00D367E3"/>
    <w:rsid w:val="00DA2249"/>
    <w:rsid w:val="00DA581F"/>
    <w:rsid w:val="00DC29A1"/>
    <w:rsid w:val="00DC7405"/>
    <w:rsid w:val="00DD3006"/>
    <w:rsid w:val="00DE2102"/>
    <w:rsid w:val="00E119D1"/>
    <w:rsid w:val="00E713DA"/>
    <w:rsid w:val="00E81C6C"/>
    <w:rsid w:val="00E85CF8"/>
    <w:rsid w:val="00EA2D16"/>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HTMLPreformatted">
    <w:name w:val="HTML Preformatted"/>
    <w:basedOn w:val="Normal"/>
    <w:link w:val="HTMLPreformattedChar"/>
    <w:uiPriority w:val="99"/>
    <w:unhideWhenUsed/>
    <w:rsid w:val="00741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741293"/>
    <w:rPr>
      <w:rFonts w:ascii="Courier New" w:hAnsi="Courier New" w:cs="Courier New"/>
      <w:lang w:val="en-GB" w:eastAsia="en-GB"/>
    </w:rPr>
  </w:style>
  <w:style w:type="character" w:customStyle="1" w:styleId="apple-converted-space">
    <w:name w:val="apple-converted-space"/>
    <w:basedOn w:val="DefaultParagraphFont"/>
    <w:rsid w:val="00932914"/>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78334-8488-4DCB-80C3-1C5B6D19A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2829</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2017-08-14T21:11:00Z</dcterms:created>
  <dcterms:modified xsi:type="dcterms:W3CDTF">2017-08-14T21:11:00Z</dcterms:modified>
</cp:coreProperties>
</file>